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jc w:val="center"/>
        <w:rPr>
          <w:rFonts w:hint="eastAsia" w:ascii="宋体" w:hAnsi="宋体"/>
          <w:b/>
          <w:color w:val="auto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关于2020年福建省妇女儿童维权十大优秀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案例评选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outlineLvl w:val="9"/>
        <w:rPr>
          <w:rFonts w:hint="eastAsia" w:ascii="宋体" w:hAnsi="宋体"/>
          <w:b/>
          <w:color w:val="auto"/>
          <w:sz w:val="36"/>
        </w:rPr>
      </w:pPr>
    </w:p>
    <w:p>
      <w:pPr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各设区市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平潭综合实验区妇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联，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各设区市</w:t>
      </w:r>
      <w:r>
        <w:rPr>
          <w:rFonts w:hint="eastAsia" w:ascii="仿宋_GB2312" w:hAnsi="仿宋_GB2312" w:eastAsia="仿宋_GB2312"/>
          <w:color w:val="auto"/>
          <w:sz w:val="32"/>
        </w:rPr>
        <w:t>总工会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女职工委员会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省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女法官协会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各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分会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省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女检察官协会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各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分会（工作站）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各设区市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律师协会</w:t>
      </w:r>
      <w:r>
        <w:rPr>
          <w:rFonts w:hint="eastAsia" w:ascii="仿宋_GB2312" w:hAnsi="仿宋_GB2312" w:eastAsia="仿宋_GB2312"/>
          <w:color w:val="auto"/>
          <w:sz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baseline"/>
        <w:outlineLvl w:val="9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为加强福建省妇女儿童维权工作，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深化“建设法治福建巾帼行动”，围绕“公众参与社会治理法治化”主题，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加大宣传力度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，努力营造全社会尊重和保障妇女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儿童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合法权益的良好氛围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，经研究，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决定在全省范围内征集、评选、宣传一批妇女儿童维权优秀案例。</w:t>
      </w:r>
      <w:r>
        <w:rPr>
          <w:rFonts w:hint="eastAsia" w:ascii="仿宋_GB2312" w:hAnsi="仿宋_GB2312" w:eastAsia="仿宋_GB2312" w:cs="仿宋_GB2312"/>
          <w:color w:val="auto"/>
          <w:sz w:val="32"/>
        </w:rPr>
        <w:t>请各地妇联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权益部</w:t>
      </w:r>
      <w:r>
        <w:rPr>
          <w:rFonts w:hint="eastAsia" w:ascii="仿宋_GB2312" w:hAnsi="仿宋_GB2312" w:eastAsia="仿宋_GB2312" w:cs="仿宋_GB2312"/>
          <w:color w:val="auto"/>
          <w:sz w:val="32"/>
        </w:rPr>
        <w:t>、工会女职工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委员会、</w:t>
      </w:r>
      <w:r>
        <w:rPr>
          <w:rFonts w:hint="eastAsia" w:ascii="仿宋_GB2312" w:hAnsi="仿宋_GB2312" w:eastAsia="仿宋_GB2312"/>
          <w:color w:val="auto"/>
          <w:sz w:val="32"/>
        </w:rPr>
        <w:t>女法官协会、女检察官协会、律师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协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会</w:t>
      </w:r>
      <w:r>
        <w:rPr>
          <w:rFonts w:hint="eastAsia" w:ascii="仿宋_GB2312" w:hAnsi="仿宋_GB2312" w:eastAsia="仿宋_GB2312"/>
          <w:color w:val="auto"/>
          <w:sz w:val="32"/>
        </w:rPr>
        <w:t>结合本地区实际，广泛宣传动员，积极组织参与，按照《“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2020年福建省妇女</w:t>
      </w:r>
      <w:r>
        <w:rPr>
          <w:rFonts w:hint="eastAsia" w:ascii="仿宋_GB2312" w:hAnsi="仿宋_GB2312" w:eastAsia="仿宋_GB2312"/>
          <w:color w:val="auto"/>
          <w:sz w:val="32"/>
        </w:rPr>
        <w:t>儿童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维权优秀</w:t>
      </w:r>
      <w:r>
        <w:rPr>
          <w:rFonts w:hint="eastAsia" w:ascii="仿宋_GB2312" w:hAnsi="仿宋_GB2312" w:eastAsia="仿宋_GB2312"/>
          <w:color w:val="auto"/>
          <w:sz w:val="32"/>
        </w:rPr>
        <w:t>案例”征集评选办法》的要求，推荐本地区、本系统办理的妇女儿童维权优秀案例，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案件办结时间要求为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截止至2020年6月30日。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请</w:t>
      </w:r>
      <w:r>
        <w:rPr>
          <w:rFonts w:hint="eastAsia" w:ascii="仿宋_GB2312" w:hAnsi="仿宋_GB2312" w:eastAsia="仿宋_GB2312"/>
          <w:color w:val="auto"/>
          <w:sz w:val="32"/>
        </w:rPr>
        <w:t>按照统一格式编写，于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color w:val="auto"/>
          <w:sz w:val="32"/>
        </w:rPr>
        <w:t>月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/>
          <w:color w:val="auto"/>
          <w:sz w:val="32"/>
        </w:rPr>
        <w:t>日前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汇总评审</w:t>
      </w:r>
      <w:r>
        <w:rPr>
          <w:rFonts w:hint="eastAsia" w:ascii="仿宋_GB2312" w:hAnsi="仿宋_GB2312" w:eastAsia="仿宋_GB2312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baseline"/>
        <w:outlineLvl w:val="9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请各地妇联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权益部</w:t>
      </w:r>
      <w:r>
        <w:rPr>
          <w:rFonts w:hint="eastAsia" w:ascii="仿宋_GB2312" w:hAnsi="仿宋_GB2312" w:eastAsia="仿宋_GB2312"/>
          <w:color w:val="auto"/>
          <w:sz w:val="32"/>
        </w:rPr>
        <w:t>、工会女职工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委员会、</w:t>
      </w:r>
      <w:r>
        <w:rPr>
          <w:rFonts w:hint="eastAsia" w:ascii="仿宋_GB2312" w:hAnsi="仿宋_GB2312" w:eastAsia="仿宋_GB2312"/>
          <w:color w:val="auto"/>
          <w:sz w:val="32"/>
        </w:rPr>
        <w:t>女法官协会、女检察官协会、律师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协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会</w:t>
      </w:r>
      <w:r>
        <w:rPr>
          <w:rFonts w:hint="eastAsia" w:ascii="仿宋_GB2312" w:hAnsi="仿宋_GB2312" w:eastAsia="仿宋_GB2312"/>
          <w:color w:val="auto"/>
          <w:sz w:val="32"/>
        </w:rPr>
        <w:t>在组织开展此项工作时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</w:rPr>
        <w:t>注重创新方式方法，注重运用网络新媒体等各种载体平台加强推广宣传，发现好案例，大力宣传党和国家保障妇女儿童权益的法律政策措施，总结推广维护妇女儿童权益的有效做法和成功案例，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推动</w:t>
      </w:r>
      <w:r>
        <w:rPr>
          <w:rFonts w:hint="eastAsia" w:ascii="仿宋_GB2312" w:hAnsi="仿宋_GB2312" w:eastAsia="仿宋_GB2312"/>
          <w:color w:val="auto"/>
          <w:sz w:val="32"/>
        </w:rPr>
        <w:t>全社会形成促进男女平等、维护妇女儿童权益的良好氛围。</w:t>
      </w:r>
    </w:p>
    <w:p>
      <w:pPr>
        <w:tabs>
          <w:tab w:val="left" w:pos="0"/>
          <w:tab w:val="left" w:pos="720"/>
        </w:tabs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</w:rPr>
      </w:pP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</w:rPr>
        <w:t>联系人：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省妇联法律服务中心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林 武</w:t>
      </w:r>
    </w:p>
    <w:p>
      <w:pPr>
        <w:ind w:firstLine="1920" w:firstLineChars="600"/>
        <w:textAlignment w:val="baseline"/>
        <w:rPr>
          <w:rFonts w:hint="eastAsia" w:ascii="仿宋_GB2312" w:hAnsi="仿宋_GB2312" w:eastAsia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省</w:t>
      </w:r>
      <w:r>
        <w:rPr>
          <w:rFonts w:hint="eastAsia" w:ascii="仿宋_GB2312" w:hAnsi="仿宋_GB2312" w:eastAsia="仿宋_GB2312"/>
          <w:color w:val="auto"/>
          <w:sz w:val="32"/>
        </w:rPr>
        <w:t>妇联权益部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陈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晶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</w:rPr>
        <w:t>电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</w:rPr>
        <w:t>话：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0591-63661625  87718359</w:t>
      </w:r>
    </w:p>
    <w:p>
      <w:pPr>
        <w:ind w:firstLine="640" w:firstLineChars="200"/>
        <w:textAlignment w:val="baseline"/>
        <w:rPr>
          <w:rStyle w:val="5"/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</w:rPr>
        <w:t>邮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</w:rPr>
        <w:t>箱：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fjflqyb</w:t>
      </w:r>
      <w:r>
        <w:rPr>
          <w:rFonts w:hint="eastAsia" w:ascii="宋体" w:hAnsi="宋体" w:eastAsia="宋体" w:cs="宋体"/>
          <w:color w:val="auto"/>
          <w:sz w:val="32"/>
          <w:lang w:val="en-US" w:eastAsia="zh-CN"/>
        </w:rPr>
        <w:t>@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163.com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</w:rPr>
      </w:pPr>
    </w:p>
    <w:p>
      <w:pPr>
        <w:ind w:firstLine="640" w:firstLineChars="200"/>
        <w:textAlignment w:val="baseline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省</w:t>
      </w:r>
      <w:r>
        <w:rPr>
          <w:rFonts w:hint="eastAsia" w:ascii="仿宋_GB2312" w:hAnsi="仿宋_GB2312" w:eastAsia="仿宋_GB2312"/>
          <w:color w:val="auto"/>
          <w:sz w:val="32"/>
        </w:rPr>
        <w:t>总工会女职工部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林欣欣  陈  紫</w:t>
      </w:r>
    </w:p>
    <w:p>
      <w:pPr>
        <w:ind w:firstLine="640" w:firstLineChars="200"/>
        <w:textAlignment w:val="baseline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</w:rPr>
        <w:t>电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</w:rPr>
        <w:t>话：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0591-87721997</w:t>
      </w:r>
    </w:p>
    <w:p>
      <w:pPr>
        <w:ind w:firstLine="640" w:firstLineChars="200"/>
        <w:textAlignment w:val="baseline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</w:rPr>
        <w:t>邮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</w:rPr>
        <w:t>箱：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t1520</w:t>
      </w:r>
      <w:r>
        <w:rPr>
          <w:rFonts w:hint="eastAsia" w:ascii="宋体" w:hAnsi="宋体" w:eastAsia="宋体" w:cs="宋体"/>
          <w:color w:val="auto"/>
          <w:sz w:val="32"/>
          <w:lang w:val="en-US" w:eastAsia="zh-CN"/>
        </w:rPr>
        <w:t>@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163.com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</w:rPr>
      </w:pPr>
    </w:p>
    <w:p>
      <w:pPr>
        <w:ind w:firstLine="640" w:firstLineChars="200"/>
        <w:textAlignment w:val="baseline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省</w:t>
      </w:r>
      <w:r>
        <w:rPr>
          <w:rFonts w:hint="eastAsia" w:ascii="仿宋_GB2312" w:hAnsi="仿宋_GB2312" w:eastAsia="仿宋_GB2312"/>
          <w:color w:val="auto"/>
          <w:sz w:val="32"/>
        </w:rPr>
        <w:t>女法官协会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黄红光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</w:rPr>
        <w:t>电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</w:rPr>
        <w:t>话：0591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-</w:t>
      </w:r>
      <w:r>
        <w:rPr>
          <w:rFonts w:hint="eastAsia" w:ascii="仿宋_GB2312" w:hAnsi="仿宋_GB2312" w:eastAsia="仿宋_GB2312"/>
          <w:color w:val="auto"/>
          <w:sz w:val="32"/>
        </w:rPr>
        <w:t>87087822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</w:rPr>
        <w:t>邮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</w:rPr>
        <w:t>箱：714428159</w:t>
      </w:r>
      <w:r>
        <w:rPr>
          <w:rFonts w:hint="eastAsia" w:ascii="宋体" w:hAnsi="宋体" w:eastAsia="宋体" w:cs="宋体"/>
          <w:color w:val="auto"/>
          <w:sz w:val="32"/>
        </w:rPr>
        <w:t>@</w:t>
      </w:r>
      <w:r>
        <w:rPr>
          <w:rFonts w:hint="eastAsia" w:ascii="仿宋_GB2312" w:hAnsi="仿宋_GB2312" w:eastAsia="仿宋_GB2312"/>
          <w:color w:val="auto"/>
          <w:sz w:val="32"/>
        </w:rPr>
        <w:t>qq.com</w:t>
      </w:r>
    </w:p>
    <w:p>
      <w:pPr>
        <w:ind w:firstLine="640" w:firstLineChars="200"/>
        <w:textAlignment w:val="baseline"/>
        <w:rPr>
          <w:rStyle w:val="5"/>
          <w:rFonts w:hint="eastAsia" w:ascii="仿宋_GB2312" w:hAnsi="仿宋_GB2312" w:eastAsia="仿宋_GB2312"/>
          <w:color w:val="auto"/>
          <w:sz w:val="32"/>
        </w:rPr>
      </w:pPr>
    </w:p>
    <w:p>
      <w:pPr>
        <w:ind w:firstLine="640" w:firstLineChars="200"/>
        <w:textAlignment w:val="baseline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省</w:t>
      </w:r>
      <w:r>
        <w:rPr>
          <w:rFonts w:hint="eastAsia" w:ascii="仿宋_GB2312" w:hAnsi="仿宋_GB2312" w:eastAsia="仿宋_GB2312"/>
          <w:color w:val="auto"/>
          <w:sz w:val="32"/>
        </w:rPr>
        <w:t xml:space="preserve">女检察官协会 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陈伟榕</w:t>
      </w:r>
    </w:p>
    <w:p>
      <w:pPr>
        <w:ind w:firstLine="640" w:firstLineChars="200"/>
        <w:textAlignment w:val="baseline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</w:rPr>
        <w:t>电话：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0591-88015530</w:t>
      </w:r>
    </w:p>
    <w:p>
      <w:pPr>
        <w:ind w:firstLine="640" w:firstLineChars="200"/>
        <w:textAlignment w:val="baseline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</w:rPr>
        <w:t>邮箱：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26172221</w:t>
      </w:r>
      <w:r>
        <w:rPr>
          <w:rFonts w:hint="eastAsia" w:ascii="宋体" w:hAnsi="宋体" w:eastAsia="宋体" w:cs="宋体"/>
          <w:color w:val="auto"/>
          <w:sz w:val="32"/>
          <w:lang w:val="en-US" w:eastAsia="zh-CN"/>
        </w:rPr>
        <w:t>@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qq.com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</w:rPr>
      </w:pPr>
    </w:p>
    <w:p>
      <w:pPr>
        <w:ind w:firstLine="640" w:firstLineChars="200"/>
        <w:textAlignment w:val="baseline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省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律师协会女</w:t>
      </w:r>
      <w:r>
        <w:rPr>
          <w:rFonts w:hint="eastAsia" w:ascii="仿宋_GB2312" w:hAnsi="仿宋_GB2312" w:eastAsia="仿宋_GB2312"/>
          <w:color w:val="auto"/>
          <w:sz w:val="32"/>
        </w:rPr>
        <w:t>律师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工作委员</w:t>
      </w:r>
      <w:r>
        <w:rPr>
          <w:rFonts w:hint="eastAsia" w:ascii="仿宋_GB2312" w:hAnsi="仿宋_GB2312" w:eastAsia="仿宋_GB2312"/>
          <w:color w:val="auto"/>
          <w:sz w:val="32"/>
        </w:rPr>
        <w:t>会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张燕</w:t>
      </w:r>
    </w:p>
    <w:p>
      <w:pPr>
        <w:ind w:firstLine="640" w:firstLineChars="200"/>
        <w:textAlignment w:val="baseline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</w:rPr>
        <w:t>电话：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0591-87552047</w:t>
      </w:r>
    </w:p>
    <w:p>
      <w:pPr>
        <w:ind w:firstLine="640" w:firstLineChars="200"/>
        <w:textAlignment w:val="baseline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</w:rPr>
        <w:t>邮箱：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fjlsxh</w:t>
      </w:r>
      <w:r>
        <w:rPr>
          <w:rFonts w:hint="eastAsia" w:ascii="宋体" w:hAnsi="宋体" w:eastAsia="宋体" w:cs="宋体"/>
          <w:color w:val="auto"/>
          <w:sz w:val="32"/>
          <w:lang w:val="en-US" w:eastAsia="zh-CN"/>
        </w:rPr>
        <w:t>@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126.com</w:t>
      </w:r>
    </w:p>
    <w:p>
      <w:pPr>
        <w:textAlignment w:val="baseline"/>
        <w:rPr>
          <w:rFonts w:hint="eastAsia" w:ascii="仿宋_GB2312" w:hAnsi="仿宋_GB2312" w:eastAsia="仿宋_GB2312"/>
          <w:color w:val="auto"/>
          <w:sz w:val="32"/>
        </w:rPr>
      </w:pPr>
    </w:p>
    <w:p>
      <w:pPr>
        <w:ind w:firstLine="3136" w:firstLineChars="980"/>
        <w:textAlignment w:val="baseline"/>
        <w:rPr>
          <w:rFonts w:hint="eastAsia" w:ascii="仿宋_GB2312" w:hAnsi="仿宋_GB2312" w:eastAsia="仿宋_GB2312"/>
          <w:color w:val="auto"/>
          <w:sz w:val="32"/>
        </w:rPr>
      </w:pP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附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件</w:t>
      </w:r>
      <w:r>
        <w:rPr>
          <w:rFonts w:hint="eastAsia" w:ascii="仿宋_GB2312" w:hAnsi="仿宋_GB2312" w:eastAsia="仿宋_GB2312"/>
          <w:color w:val="auto"/>
          <w:sz w:val="32"/>
        </w:rPr>
        <w:t>：《“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2020年福建省妇女</w:t>
      </w:r>
      <w:r>
        <w:rPr>
          <w:rFonts w:hint="eastAsia" w:ascii="仿宋_GB2312" w:hAnsi="仿宋_GB2312" w:eastAsia="仿宋_GB2312"/>
          <w:color w:val="auto"/>
          <w:sz w:val="32"/>
        </w:rPr>
        <w:t>儿童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维权优秀</w:t>
      </w:r>
      <w:r>
        <w:rPr>
          <w:rFonts w:hint="eastAsia" w:ascii="仿宋_GB2312" w:hAnsi="仿宋_GB2312" w:eastAsia="仿宋_GB2312"/>
          <w:color w:val="auto"/>
          <w:sz w:val="32"/>
        </w:rPr>
        <w:t>案例”征集评选办法（试行）》</w:t>
      </w:r>
    </w:p>
    <w:p>
      <w:pPr>
        <w:textAlignment w:val="baseline"/>
        <w:rPr>
          <w:rFonts w:hint="eastAsia" w:ascii="仿宋_GB2312" w:hAnsi="仿宋_GB2312" w:eastAsia="仿宋_GB2312"/>
          <w:color w:val="auto"/>
          <w:sz w:val="32"/>
        </w:rPr>
      </w:pPr>
    </w:p>
    <w:p>
      <w:pPr>
        <w:textAlignment w:val="baseline"/>
        <w:rPr>
          <w:rFonts w:hint="eastAsia" w:ascii="仿宋_GB2312" w:hAnsi="仿宋_GB2312" w:eastAsia="仿宋_GB2312"/>
          <w:color w:val="auto"/>
          <w:sz w:val="32"/>
        </w:rPr>
      </w:pPr>
    </w:p>
    <w:p>
      <w:pPr>
        <w:jc w:val="center"/>
        <w:textAlignment w:val="baseline"/>
        <w:rPr>
          <w:rFonts w:hint="eastAsia" w:ascii="仿宋_GB2312" w:hAnsi="仿宋_GB2312" w:eastAsia="仿宋_GB2312"/>
          <w:color w:val="auto"/>
          <w:sz w:val="32"/>
        </w:rPr>
      </w:pPr>
    </w:p>
    <w:p>
      <w:pPr>
        <w:jc w:val="center"/>
        <w:textAlignment w:val="baseline"/>
        <w:rPr>
          <w:rFonts w:hint="eastAsia" w:ascii="仿宋_GB2312" w:hAnsi="仿宋_GB2312" w:eastAsia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  福建省</w:t>
      </w:r>
      <w:r>
        <w:rPr>
          <w:rFonts w:hint="eastAsia" w:ascii="仿宋_GB2312" w:hAnsi="仿宋_GB2312" w:eastAsia="仿宋_GB2312"/>
          <w:color w:val="auto"/>
          <w:sz w:val="32"/>
        </w:rPr>
        <w:t>妇联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办公室</w:t>
      </w:r>
      <w:r>
        <w:rPr>
          <w:rFonts w:hint="eastAsia" w:ascii="仿宋_GB2312" w:hAnsi="仿宋_GB2312" w:eastAsia="仿宋_GB2312"/>
          <w:color w:val="auto"/>
          <w:sz w:val="32"/>
        </w:rPr>
        <w:t xml:space="preserve">   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  福建省</w:t>
      </w:r>
      <w:r>
        <w:rPr>
          <w:rFonts w:hint="eastAsia" w:ascii="仿宋_GB2312" w:hAnsi="仿宋_GB2312" w:eastAsia="仿宋_GB2312"/>
          <w:color w:val="auto"/>
          <w:sz w:val="32"/>
        </w:rPr>
        <w:t>总工会女职工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委员会</w:t>
      </w:r>
    </w:p>
    <w:p>
      <w:pPr>
        <w:jc w:val="center"/>
        <w:textAlignment w:val="baseline"/>
        <w:rPr>
          <w:rFonts w:hint="eastAsia" w:ascii="仿宋_GB2312" w:hAnsi="仿宋_GB2312" w:eastAsia="仿宋_GB2312"/>
          <w:color w:val="auto"/>
          <w:sz w:val="32"/>
          <w:lang w:eastAsia="zh-CN"/>
        </w:rPr>
      </w:pPr>
    </w:p>
    <w:p>
      <w:pPr>
        <w:jc w:val="center"/>
        <w:textAlignment w:val="baseline"/>
        <w:rPr>
          <w:rFonts w:hint="eastAsia" w:ascii="仿宋_GB2312" w:hAnsi="仿宋_GB2312" w:eastAsia="仿宋_GB2312"/>
          <w:color w:val="auto"/>
          <w:sz w:val="32"/>
          <w:lang w:eastAsia="zh-CN"/>
        </w:rPr>
      </w:pPr>
    </w:p>
    <w:p>
      <w:pPr>
        <w:jc w:val="center"/>
        <w:textAlignment w:val="baseline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福建省</w:t>
      </w:r>
      <w:r>
        <w:rPr>
          <w:rFonts w:hint="eastAsia" w:ascii="仿宋_GB2312" w:hAnsi="仿宋_GB2312" w:eastAsia="仿宋_GB2312"/>
          <w:color w:val="auto"/>
          <w:sz w:val="32"/>
        </w:rPr>
        <w:t>女法官协会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   福建省</w:t>
      </w:r>
      <w:r>
        <w:rPr>
          <w:rFonts w:hint="eastAsia" w:ascii="仿宋_GB2312" w:hAnsi="仿宋_GB2312" w:eastAsia="仿宋_GB2312"/>
          <w:color w:val="auto"/>
          <w:sz w:val="32"/>
        </w:rPr>
        <w:t>女检察官协会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  </w:t>
      </w:r>
    </w:p>
    <w:p>
      <w:pPr>
        <w:jc w:val="center"/>
        <w:textAlignment w:val="baseline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</w:p>
    <w:p>
      <w:pPr>
        <w:jc w:val="center"/>
        <w:textAlignment w:val="baseline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</w:p>
    <w:p>
      <w:pPr>
        <w:jc w:val="center"/>
        <w:textAlignment w:val="baseline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福建省</w:t>
      </w:r>
      <w:r>
        <w:rPr>
          <w:rFonts w:hint="eastAsia" w:ascii="仿宋_GB2312" w:hAnsi="仿宋_GB2312" w:eastAsia="仿宋_GB2312"/>
          <w:color w:val="auto"/>
          <w:sz w:val="32"/>
        </w:rPr>
        <w:t>律师协会</w:t>
      </w:r>
    </w:p>
    <w:p>
      <w:pPr>
        <w:jc w:val="right"/>
        <w:textAlignment w:val="baseline"/>
        <w:rPr>
          <w:rFonts w:hint="eastAsia" w:ascii="仿宋_GB2312" w:hAnsi="仿宋_GB2312" w:eastAsia="仿宋_GB2312"/>
          <w:color w:val="auto"/>
          <w:sz w:val="32"/>
        </w:rPr>
      </w:pPr>
    </w:p>
    <w:p>
      <w:pPr>
        <w:jc w:val="center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20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20</w:t>
      </w:r>
      <w:r>
        <w:rPr>
          <w:rFonts w:hint="eastAsia" w:ascii="仿宋_GB2312" w:hAnsi="仿宋_GB2312" w:eastAsia="仿宋_GB2312"/>
          <w:color w:val="auto"/>
          <w:sz w:val="32"/>
        </w:rPr>
        <w:t>年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7</w:t>
      </w:r>
      <w:r>
        <w:rPr>
          <w:rFonts w:hint="eastAsia" w:ascii="仿宋_GB2312" w:hAnsi="仿宋_GB2312" w:eastAsia="仿宋_GB2312"/>
          <w:color w:val="auto"/>
          <w:sz w:val="32"/>
        </w:rPr>
        <w:t>月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10</w:t>
      </w:r>
      <w:r>
        <w:rPr>
          <w:rFonts w:hint="eastAsia" w:ascii="仿宋_GB2312" w:hAnsi="仿宋_GB2312" w:eastAsia="仿宋_GB2312"/>
          <w:color w:val="auto"/>
          <w:sz w:val="32"/>
        </w:rPr>
        <w:t>日</w:t>
      </w:r>
    </w:p>
    <w:p>
      <w:pPr>
        <w:jc w:val="center"/>
        <w:rPr>
          <w:rFonts w:hint="eastAsia" w:ascii="仿宋_GB2312" w:hAnsi="仿宋_GB2312" w:eastAsia="仿宋_GB2312"/>
          <w:color w:val="auto"/>
          <w:sz w:val="32"/>
        </w:rPr>
      </w:pPr>
    </w:p>
    <w:p>
      <w:pPr>
        <w:jc w:val="center"/>
        <w:rPr>
          <w:rFonts w:hint="eastAsia" w:ascii="仿宋_GB2312" w:hAnsi="仿宋_GB2312" w:eastAsia="仿宋_GB2312"/>
          <w:color w:val="auto"/>
          <w:sz w:val="32"/>
        </w:rPr>
      </w:pPr>
    </w:p>
    <w:p>
      <w:pPr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附件：</w:t>
      </w:r>
    </w:p>
    <w:p>
      <w:pPr>
        <w:jc w:val="center"/>
        <w:textAlignment w:val="baseline"/>
        <w:rPr>
          <w:rFonts w:hint="eastAsia" w:ascii="宋体" w:hAnsi="宋体"/>
          <w:b/>
          <w:color w:val="auto"/>
          <w:sz w:val="36"/>
        </w:rPr>
      </w:pPr>
    </w:p>
    <w:p>
      <w:pPr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2020年福建省妇女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儿童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维权优秀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案例</w:t>
      </w:r>
    </w:p>
    <w:p>
      <w:pPr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征集评选办法（试行）</w:t>
      </w:r>
    </w:p>
    <w:p>
      <w:pPr>
        <w:jc w:val="center"/>
        <w:textAlignment w:val="baseline"/>
        <w:rPr>
          <w:rFonts w:hint="eastAsia" w:ascii="仿宋_GB2312" w:hAnsi="仿宋_GB2312" w:eastAsia="仿宋_GB2312"/>
          <w:color w:val="auto"/>
          <w:sz w:val="32"/>
        </w:rPr>
      </w:pPr>
    </w:p>
    <w:p>
      <w:pPr>
        <w:ind w:firstLine="60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为加强福建省妇女儿童维权工作，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持续深化“建设法治福建巾帼行动”，围绕“公众参与社会治理法治化”主题，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加大维权工作宣传力度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，努力营造全社会尊重和保障妇女合法权益的良好氛围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在全省范围内征集、评选、宣传一批典型妇女儿童维权优秀案例，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为保证评选工作有序开展，特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制定本办法。</w:t>
      </w:r>
    </w:p>
    <w:p>
      <w:pPr>
        <w:numPr>
          <w:ilvl w:val="0"/>
          <w:numId w:val="1"/>
        </w:numPr>
        <w:tabs>
          <w:tab w:val="left" w:pos="1480"/>
        </w:tabs>
        <w:ind w:left="0" w:firstLine="640"/>
        <w:textAlignment w:val="baseline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</w:rPr>
        <w:t>评选对象</w:t>
      </w:r>
    </w:p>
    <w:p>
      <w:pPr>
        <w:ind w:firstLine="600"/>
        <w:textAlignment w:val="baseline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各级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妇联、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工会、法院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、检察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院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以及律师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办理的</w:t>
      </w:r>
      <w:r>
        <w:rPr>
          <w:rFonts w:hint="eastAsia" w:ascii="仿宋_GB2312" w:hAnsi="仿宋_GB2312" w:eastAsia="仿宋_GB2312"/>
          <w:color w:val="auto"/>
          <w:sz w:val="32"/>
        </w:rPr>
        <w:t>维护妇女儿童权益的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具有典型性的</w:t>
      </w:r>
      <w:r>
        <w:rPr>
          <w:rFonts w:hint="eastAsia" w:ascii="仿宋_GB2312" w:hAnsi="仿宋_GB2312" w:eastAsia="仿宋_GB2312"/>
          <w:color w:val="auto"/>
          <w:sz w:val="32"/>
        </w:rPr>
        <w:t>诉讼、仲裁、执行或调解案件。</w:t>
      </w:r>
    </w:p>
    <w:p>
      <w:pPr>
        <w:numPr>
          <w:ilvl w:val="0"/>
          <w:numId w:val="1"/>
        </w:numPr>
        <w:tabs>
          <w:tab w:val="left" w:pos="1480"/>
        </w:tabs>
        <w:ind w:left="0" w:firstLine="640"/>
        <w:textAlignment w:val="baseline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</w:rPr>
        <w:t>征集案例类型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2019年以来，尤其是2020年办结的维护妇女儿童权益优秀案例。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案例类型以涉新冠肺炎疫情有关维权案件、性侵未成年人案件、事实无人抚养儿童案件、孕产妇特别救助案件等为主，其他有关维护妇女儿童权益典型案例也可报送。</w:t>
      </w:r>
    </w:p>
    <w:p>
      <w:pPr>
        <w:numPr>
          <w:ilvl w:val="0"/>
          <w:numId w:val="1"/>
        </w:numPr>
        <w:tabs>
          <w:tab w:val="left" w:pos="1480"/>
        </w:tabs>
        <w:ind w:left="0" w:firstLine="640"/>
        <w:textAlignment w:val="baseline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</w:rPr>
        <w:t>征集评选标准</w:t>
      </w:r>
    </w:p>
    <w:p>
      <w:pPr>
        <w:numPr>
          <w:ilvl w:val="-1"/>
          <w:numId w:val="0"/>
        </w:numPr>
        <w:tabs>
          <w:tab w:val="left" w:pos="900"/>
          <w:tab w:val="left" w:pos="1620"/>
        </w:tabs>
        <w:ind w:firstLine="0"/>
        <w:textAlignment w:val="baseline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 （一）</w:t>
      </w:r>
      <w:r>
        <w:rPr>
          <w:rFonts w:hint="eastAsia" w:ascii="仿宋_GB2312" w:hAnsi="仿宋_GB2312" w:eastAsia="仿宋_GB2312"/>
          <w:color w:val="auto"/>
          <w:sz w:val="32"/>
        </w:rPr>
        <w:t>案例具有典型性或者社会影响力，对办理同类案件或者解决妇女儿童权益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重点</w:t>
      </w:r>
      <w:r>
        <w:rPr>
          <w:rFonts w:hint="eastAsia" w:ascii="仿宋_GB2312" w:hAnsi="仿宋_GB2312" w:eastAsia="仿宋_GB2312"/>
          <w:color w:val="auto"/>
          <w:sz w:val="32"/>
        </w:rPr>
        <w:t>难点问题有指导借鉴意义。</w:t>
      </w:r>
    </w:p>
    <w:p>
      <w:pPr>
        <w:numPr>
          <w:ilvl w:val="-1"/>
          <w:numId w:val="0"/>
        </w:numPr>
        <w:tabs>
          <w:tab w:val="left" w:pos="900"/>
          <w:tab w:val="left" w:pos="1620"/>
        </w:tabs>
        <w:ind w:firstLine="0"/>
        <w:textAlignment w:val="baseline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 （二）</w:t>
      </w:r>
      <w:r>
        <w:rPr>
          <w:rFonts w:hint="eastAsia" w:ascii="仿宋_GB2312" w:hAnsi="仿宋_GB2312" w:eastAsia="仿宋_GB2312"/>
          <w:color w:val="auto"/>
          <w:sz w:val="32"/>
        </w:rPr>
        <w:t>案例经办人立足本职，尽职尽责，思路清晰，有效运用法律政策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</w:rPr>
        <w:t>主动收集证据材料，维护妇女儿童权益作用明显。</w:t>
      </w:r>
    </w:p>
    <w:p>
      <w:pPr>
        <w:numPr>
          <w:ilvl w:val="-1"/>
          <w:numId w:val="0"/>
        </w:numPr>
        <w:tabs>
          <w:tab w:val="left" w:pos="900"/>
          <w:tab w:val="left" w:pos="1620"/>
        </w:tabs>
        <w:ind w:firstLine="0"/>
        <w:textAlignment w:val="baseline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 （三）</w:t>
      </w:r>
      <w:r>
        <w:rPr>
          <w:rFonts w:hint="eastAsia" w:ascii="仿宋_GB2312" w:hAnsi="仿宋_GB2312" w:eastAsia="仿宋_GB2312"/>
          <w:color w:val="auto"/>
          <w:sz w:val="32"/>
        </w:rPr>
        <w:t>判决书、公诉书、代理词或辩护词等法律文书以及维权过程体现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性别平等意识</w:t>
      </w:r>
      <w:r>
        <w:rPr>
          <w:rFonts w:hint="eastAsia" w:ascii="仿宋_GB2312" w:hAnsi="仿宋_GB2312" w:eastAsia="仿宋_GB2312"/>
          <w:color w:val="auto"/>
          <w:sz w:val="32"/>
        </w:rPr>
        <w:t>或儿童优先原则。</w:t>
      </w:r>
    </w:p>
    <w:p>
      <w:pPr>
        <w:numPr>
          <w:ilvl w:val="-1"/>
          <w:numId w:val="0"/>
        </w:numPr>
        <w:tabs>
          <w:tab w:val="left" w:pos="900"/>
          <w:tab w:val="left" w:pos="1620"/>
        </w:tabs>
        <w:ind w:firstLine="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</w:pP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 xml:space="preserve">   （四）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评选前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办结的，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已作出生效判决、裁定、调解书、仲裁裁决书、决定或信访事项结案书等的真实案件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案件办结时间应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在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启动评选当年的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6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月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30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日前。</w:t>
      </w:r>
    </w:p>
    <w:p>
      <w:pPr>
        <w:numPr>
          <w:ilvl w:val="-1"/>
          <w:numId w:val="0"/>
        </w:numPr>
        <w:tabs>
          <w:tab w:val="left" w:pos="900"/>
          <w:tab w:val="left" w:pos="1620"/>
        </w:tabs>
        <w:ind w:firstLine="0"/>
        <w:textAlignment w:val="baseline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 xml:space="preserve">   （五）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案例材料</w:t>
      </w:r>
      <w:r>
        <w:rPr>
          <w:rFonts w:hint="eastAsia" w:ascii="仿宋_GB2312" w:hAnsi="仿宋_GB2312" w:eastAsia="仿宋_GB2312"/>
          <w:color w:val="auto"/>
          <w:sz w:val="32"/>
        </w:rPr>
        <w:t>要求文句通顺、逻辑清晰、内容详实、重点突出，卷宗完备。</w:t>
      </w:r>
    </w:p>
    <w:p>
      <w:pPr>
        <w:numPr>
          <w:ilvl w:val="0"/>
          <w:numId w:val="1"/>
        </w:numPr>
        <w:tabs>
          <w:tab w:val="left" w:pos="1480"/>
        </w:tabs>
        <w:ind w:left="0" w:firstLine="640"/>
        <w:textAlignment w:val="baseline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</w:rPr>
        <w:t>征集评选工作程序</w:t>
      </w:r>
    </w:p>
    <w:p>
      <w:pPr>
        <w:numPr>
          <w:ilvl w:val="0"/>
          <w:numId w:val="0"/>
        </w:numPr>
        <w:tabs>
          <w:tab w:val="left" w:pos="0"/>
          <w:tab w:val="left" w:pos="720"/>
        </w:tabs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</w:pP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一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通知及申报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通过五家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单位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联合发文形式，要求各系统组织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征集评选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，按照统一格式（参见附件1、2）上报符合要求的案例。</w:t>
      </w:r>
    </w:p>
    <w:p>
      <w:pPr>
        <w:numPr>
          <w:ilvl w:val="0"/>
          <w:numId w:val="0"/>
        </w:numPr>
        <w:tabs>
          <w:tab w:val="left" w:pos="0"/>
          <w:tab w:val="left" w:pos="720"/>
        </w:tabs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</w:pP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二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初审推荐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五家单位汇总各系统上报的案例后进行初审，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并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推荐10个案例作为候选的优秀案例。同时，每家推荐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名专家组成终审的专家评审组。</w:t>
      </w:r>
    </w:p>
    <w:p>
      <w:pPr>
        <w:numPr>
          <w:ilvl w:val="0"/>
          <w:numId w:val="0"/>
        </w:numPr>
        <w:tabs>
          <w:tab w:val="left" w:pos="0"/>
          <w:tab w:val="left" w:pos="720"/>
        </w:tabs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</w:pP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三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终审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由专家评审组在五家单位推荐的候选优秀案例中，以记名投票的方式评选出不多于20个备选优秀案例，并通过座谈讨论、查阅原始案卷、回访核实、综合评测等方式，确定最终的“十大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优秀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案例”。</w:t>
      </w:r>
    </w:p>
    <w:p>
      <w:pPr>
        <w:numPr>
          <w:ilvl w:val="0"/>
          <w:numId w:val="0"/>
        </w:numPr>
        <w:tabs>
          <w:tab w:val="left" w:pos="0"/>
          <w:tab w:val="left" w:pos="720"/>
        </w:tabs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</w:pP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四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案例定稿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组织对“十大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优秀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案例”文字材料进行统一改写，使之更为规范、专业，加强当事人的隐私保护。同时请经办人和经办单位上报有关案例的宣传报道、视频资料等，为发布做准备。</w:t>
      </w:r>
    </w:p>
    <w:p>
      <w:pPr>
        <w:numPr>
          <w:ilvl w:val="0"/>
          <w:numId w:val="0"/>
        </w:numPr>
        <w:tabs>
          <w:tab w:val="left" w:pos="0"/>
          <w:tab w:val="left" w:pos="720"/>
        </w:tabs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</w:pP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发布和宣传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五家单位通过主流媒体、各自行业媒体以及新媒体对推荐的优秀案例进行宣传展示、案例评述、以案说法。妇联结合重大活动或重要节点，对“十大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优秀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案例”进行联合新闻发布，在全社会倡导形成维护妇女儿童权益的良好氛围。</w:t>
      </w:r>
    </w:p>
    <w:p>
      <w:pPr>
        <w:numPr>
          <w:ilvl w:val="0"/>
          <w:numId w:val="1"/>
        </w:numPr>
        <w:tabs>
          <w:tab w:val="left" w:pos="1480"/>
        </w:tabs>
        <w:ind w:left="0" w:firstLine="640"/>
        <w:textAlignment w:val="baseline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</w:rPr>
        <w:t>激励机制与案例的使用</w:t>
      </w:r>
    </w:p>
    <w:p>
      <w:pPr>
        <w:numPr>
          <w:ilvl w:val="0"/>
          <w:numId w:val="0"/>
        </w:numPr>
        <w:tabs>
          <w:tab w:val="left" w:pos="900"/>
          <w:tab w:val="left" w:pos="1620"/>
        </w:tabs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/>
        </w:rPr>
      </w:pP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 xml:space="preserve">   （一）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入选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“十大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优秀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案例”的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办案人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，将获得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案例入选证书。符合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全国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/省级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维护妇女儿童权益先进个人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先进集体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评选条件的办案人员或者办案单位，可以作为全国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/省级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维护妇女儿童权益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先进个人或先进集体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推荐对象。但每个获奖案例只能在先进个人或者先进集体中择一推荐，由五家单位在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“十大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优秀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案例”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评选结果确定后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5个工作日内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征求基层报送单位意见确定，并出具正式意见加盖公章，送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省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妇联权益部备案。</w:t>
      </w:r>
    </w:p>
    <w:p>
      <w:pPr>
        <w:numPr>
          <w:ilvl w:val="0"/>
          <w:numId w:val="0"/>
        </w:numPr>
        <w:tabs>
          <w:tab w:val="left" w:pos="900"/>
          <w:tab w:val="left" w:pos="1620"/>
        </w:tabs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</w:pP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 xml:space="preserve">   （二）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评选出的优秀案例将编印成册，提供地方妇联、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工会、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各协会作为工作参考，通过适当形式进行媒体宣传。</w:t>
      </w:r>
    </w:p>
    <w:p>
      <w:pPr>
        <w:numPr>
          <w:ilvl w:val="0"/>
          <w:numId w:val="0"/>
        </w:numPr>
        <w:tabs>
          <w:tab w:val="left" w:pos="900"/>
          <w:tab w:val="left" w:pos="1620"/>
        </w:tabs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</w:pP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 xml:space="preserve">   （三）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“十大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优秀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案例”办案单位按照规定格式进行改写后，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将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推荐给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全国妇联、全国总工会、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最高人民法院、最高人民检察院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全国律协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，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作为备选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</w:rPr>
        <w:t>指导案例。</w:t>
      </w: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附件1：《妇女儿童维权优秀案例报送格式》</w:t>
      </w: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eastAsia="zh-CN"/>
        </w:rPr>
        <w:t>附件</w:t>
      </w:r>
      <w:r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  <w:t>2：《妇女儿童维权优秀案例征集附交材料》</w:t>
      </w: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900"/>
          <w:tab w:val="left" w:pos="1620"/>
        </w:tabs>
        <w:ind w:firstLine="640"/>
        <w:textAlignment w:val="baseline"/>
        <w:rPr>
          <w:rFonts w:hint="eastAsia" w:ascii="仿宋_GB2312" w:hAnsi="仿宋_GB2312" w:eastAsia="仿宋_GB2312"/>
          <w:color w:val="auto"/>
          <w:sz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宋体" w:hAnsi="宋体" w:eastAsia="宋体"/>
          <w:b w:val="0"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/>
          <w:b/>
          <w:color w:val="auto"/>
          <w:kern w:val="2"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/>
          <w:b/>
          <w:color w:val="auto"/>
          <w:kern w:val="2"/>
          <w:sz w:val="36"/>
          <w:lang w:val="en-US" w:eastAsia="zh-CN"/>
        </w:rPr>
      </w:pPr>
      <w:r>
        <w:rPr>
          <w:rFonts w:hint="eastAsia" w:ascii="宋体" w:hAnsi="宋体" w:eastAsia="宋体"/>
          <w:b/>
          <w:color w:val="auto"/>
          <w:kern w:val="2"/>
          <w:sz w:val="36"/>
          <w:lang w:val="en-US" w:eastAsia="zh-CN"/>
        </w:rPr>
        <w:t>妇女儿童维权优秀案例报送格式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color w:val="auto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color w:val="auto"/>
          <w:kern w:val="2"/>
          <w:sz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宋体" w:hAnsi="宋体"/>
          <w:b/>
          <w:color w:val="auto"/>
          <w:sz w:val="32"/>
        </w:rPr>
      </w:pPr>
      <w:r>
        <w:rPr>
          <w:rFonts w:hint="eastAsia" w:ascii="仿宋_GB2312" w:hAnsi="仿宋_GB2312" w:eastAsia="仿宋_GB2312"/>
          <w:b w:val="0"/>
          <w:color w:val="auto"/>
          <w:kern w:val="2"/>
          <w:sz w:val="32"/>
          <w:lang w:val="en-US" w:eastAsia="zh-CN"/>
        </w:rPr>
        <w:t xml:space="preserve">    妇女儿童维权优秀案例按照以下格式报送</w:t>
      </w:r>
      <w:r>
        <w:rPr>
          <w:rFonts w:hint="eastAsia" w:ascii="仿宋_GB2312" w:hAnsi="仿宋_GB2312" w:eastAsia="仿宋_GB2312"/>
          <w:b w:val="0"/>
          <w:color w:val="auto"/>
          <w:sz w:val="32"/>
          <w:lang w:eastAsia="zh-CN"/>
        </w:rPr>
        <w:t>，大标题为统一格式小二号宋体加黑，正文为仿宋体三号字。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/>
          <w:b/>
          <w:color w:val="auto"/>
          <w:kern w:val="2"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/>
          <w:b/>
          <w:color w:val="auto"/>
          <w:sz w:val="36"/>
          <w:lang w:val="en-US" w:eastAsia="zh-CN"/>
        </w:rPr>
      </w:pPr>
      <w:r>
        <w:rPr>
          <w:rFonts w:hint="eastAsia" w:ascii="宋体" w:hAnsi="宋体"/>
          <w:b/>
          <w:color w:val="auto"/>
          <w:sz w:val="36"/>
          <w:lang w:val="en-US" w:eastAsia="zh-CN"/>
        </w:rPr>
        <w:t>福建</w:t>
      </w:r>
      <w:r>
        <w:rPr>
          <w:rFonts w:hint="eastAsia" w:ascii="宋体" w:hAnsi="宋体"/>
          <w:b/>
          <w:color w:val="auto"/>
          <w:sz w:val="36"/>
          <w:lang w:eastAsia="zh-CN"/>
        </w:rPr>
        <w:t>省</w:t>
      </w:r>
      <w:r>
        <w:rPr>
          <w:rFonts w:hint="eastAsia" w:ascii="宋体" w:hAnsi="宋体"/>
          <w:b/>
          <w:color w:val="auto"/>
          <w:sz w:val="36"/>
        </w:rPr>
        <w:t>妇女儿童维权优秀案例</w:t>
      </w:r>
      <w:r>
        <w:rPr>
          <w:rFonts w:hint="eastAsia" w:ascii="宋体" w:hAnsi="宋体"/>
          <w:b/>
          <w:color w:val="auto"/>
          <w:sz w:val="36"/>
          <w:lang w:eastAsia="zh-CN"/>
        </w:rPr>
        <w:t>（</w:t>
      </w:r>
      <w:r>
        <w:rPr>
          <w:rFonts w:hint="eastAsia" w:ascii="宋体" w:hAnsi="宋体"/>
          <w:b/>
          <w:color w:val="auto"/>
          <w:sz w:val="36"/>
          <w:lang w:val="en-US" w:eastAsia="zh-CN"/>
        </w:rPr>
        <w:t>第几个/共几个</w:t>
      </w:r>
      <w:r>
        <w:rPr>
          <w:rFonts w:hint="eastAsia" w:ascii="宋体" w:hAnsi="宋体"/>
          <w:b/>
          <w:color w:val="auto"/>
          <w:sz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outlineLvl w:val="9"/>
        <w:rPr>
          <w:rFonts w:hint="eastAsia" w:ascii="宋体" w:hAnsi="宋体"/>
          <w:color w:val="auto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/>
          <w:color w:val="auto"/>
          <w:sz w:val="32"/>
          <w:lang w:eastAsia="zh-CN"/>
        </w:rPr>
      </w:pPr>
      <w:r>
        <w:rPr>
          <w:rFonts w:hint="eastAsia"/>
          <w:b/>
          <w:color w:val="auto"/>
          <w:sz w:val="32"/>
          <w:lang w:eastAsia="zh-CN"/>
        </w:rPr>
        <w:t>案例</w:t>
      </w:r>
      <w:r>
        <w:rPr>
          <w:rFonts w:hint="eastAsia"/>
          <w:b/>
          <w:color w:val="auto"/>
          <w:sz w:val="32"/>
        </w:rPr>
        <w:t>标题：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xxx（人名）xxx案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/>
          <w:color w:val="auto"/>
          <w:sz w:val="32"/>
          <w:lang w:eastAsia="zh-CN"/>
        </w:rPr>
      </w:pPr>
      <w:r>
        <w:rPr>
          <w:rFonts w:hint="eastAsia"/>
          <w:b/>
          <w:color w:val="auto"/>
          <w:sz w:val="32"/>
          <w:lang w:eastAsia="zh-CN"/>
        </w:rPr>
        <w:t>案例类型：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（根据《妇女权益保障法》规定的六大权益分类：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政治权利、文化教育权益、劳动和社会保障权益、财产权益、人身权利、婚姻家庭权益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</w:pPr>
      <w:r>
        <w:rPr>
          <w:rFonts w:hint="eastAsia"/>
          <w:b/>
          <w:color w:val="auto"/>
          <w:sz w:val="32"/>
          <w:lang w:eastAsia="zh-CN"/>
        </w:rPr>
        <w:t>办案时间：</w:t>
      </w:r>
      <w:r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  <w:t>xxxx年xx月xx日—xxxx年xx月xx日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</w:pPr>
      <w:r>
        <w:rPr>
          <w:rFonts w:hint="eastAsia"/>
          <w:b/>
          <w:color w:val="auto"/>
          <w:sz w:val="32"/>
        </w:rPr>
        <w:t>办</w:t>
      </w:r>
      <w:r>
        <w:rPr>
          <w:rFonts w:hint="eastAsia"/>
          <w:b/>
          <w:color w:val="auto"/>
          <w:sz w:val="32"/>
          <w:lang w:eastAsia="zh-CN"/>
        </w:rPr>
        <w:t>案</w:t>
      </w:r>
      <w:r>
        <w:rPr>
          <w:rFonts w:hint="eastAsia"/>
          <w:b/>
          <w:color w:val="auto"/>
          <w:sz w:val="32"/>
        </w:rPr>
        <w:t>单位</w:t>
      </w:r>
      <w:r>
        <w:rPr>
          <w:rFonts w:hint="eastAsia"/>
          <w:b/>
          <w:color w:val="auto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/>
          <w:color w:val="auto"/>
          <w:sz w:val="32"/>
        </w:rPr>
      </w:pPr>
      <w:r>
        <w:rPr>
          <w:rFonts w:hint="eastAsia"/>
          <w:b/>
          <w:color w:val="auto"/>
          <w:sz w:val="32"/>
        </w:rPr>
        <w:t>办</w:t>
      </w:r>
      <w:r>
        <w:rPr>
          <w:rFonts w:hint="eastAsia"/>
          <w:b/>
          <w:color w:val="auto"/>
          <w:sz w:val="32"/>
          <w:lang w:eastAsia="zh-CN"/>
        </w:rPr>
        <w:t xml:space="preserve"> 案 </w:t>
      </w:r>
      <w:r>
        <w:rPr>
          <w:rFonts w:hint="eastAsia"/>
          <w:b/>
          <w:color w:val="auto"/>
          <w:sz w:val="32"/>
        </w:rPr>
        <w:t>人</w:t>
      </w:r>
      <w:r>
        <w:rPr>
          <w:rFonts w:hint="eastAsia"/>
          <w:b/>
          <w:color w:val="auto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color w:val="auto"/>
          <w:kern w:val="2"/>
          <w:sz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13"/>
        <w:jc w:val="both"/>
        <w:textAlignment w:val="auto"/>
        <w:outlineLvl w:val="9"/>
        <w:rPr>
          <w:rFonts w:hint="eastAsia"/>
          <w:b/>
          <w:color w:val="auto"/>
          <w:sz w:val="32"/>
          <w:lang w:eastAsia="zh-CN"/>
        </w:rPr>
      </w:pPr>
      <w:r>
        <w:rPr>
          <w:rFonts w:hint="eastAsia"/>
          <w:b/>
          <w:color w:val="auto"/>
          <w:sz w:val="32"/>
          <w:lang w:eastAsia="zh-CN"/>
        </w:rPr>
        <w:t>案例</w:t>
      </w:r>
      <w:r>
        <w:rPr>
          <w:rFonts w:hint="eastAsia"/>
          <w:b/>
          <w:color w:val="auto"/>
          <w:sz w:val="32"/>
        </w:rPr>
        <w:t>基本情况</w:t>
      </w:r>
      <w:r>
        <w:rPr>
          <w:rFonts w:hint="eastAsia"/>
          <w:b/>
          <w:color w:val="auto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b w:val="0"/>
          <w:color w:val="auto"/>
          <w:sz w:val="32"/>
          <w:lang w:eastAsia="zh-CN"/>
        </w:rPr>
        <w:t>（500字）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13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13"/>
        <w:jc w:val="both"/>
        <w:textAlignment w:val="auto"/>
        <w:outlineLvl w:val="9"/>
        <w:rPr>
          <w:rFonts w:hint="eastAsia"/>
          <w:b/>
          <w:color w:val="auto"/>
          <w:sz w:val="32"/>
        </w:rPr>
      </w:pPr>
      <w:r>
        <w:rPr>
          <w:rFonts w:hint="eastAsia"/>
          <w:b/>
          <w:color w:val="auto"/>
          <w:sz w:val="32"/>
        </w:rPr>
        <w:t>办理过程及结果</w:t>
      </w:r>
      <w:r>
        <w:rPr>
          <w:rFonts w:hint="eastAsia"/>
          <w:b/>
          <w:color w:val="auto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b w:val="0"/>
          <w:color w:val="auto"/>
          <w:kern w:val="2"/>
          <w:sz w:val="32"/>
          <w:lang w:val="en-US" w:eastAsia="zh-CN"/>
        </w:rPr>
        <w:t>（1000字）</w:t>
      </w:r>
      <w:r>
        <w:rPr>
          <w:rFonts w:hint="eastAsia" w:eastAsia="宋体"/>
          <w:b/>
          <w:color w:val="auto"/>
          <w:sz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13"/>
        <w:jc w:val="both"/>
        <w:textAlignment w:val="auto"/>
        <w:outlineLvl w:val="9"/>
        <w:rPr>
          <w:rFonts w:hint="eastAsia"/>
          <w:b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13"/>
        <w:jc w:val="both"/>
        <w:textAlignment w:val="auto"/>
        <w:outlineLvl w:val="9"/>
        <w:rPr>
          <w:rFonts w:hint="eastAsia"/>
          <w:b/>
          <w:color w:val="auto"/>
          <w:sz w:val="32"/>
        </w:rPr>
      </w:pPr>
      <w:r>
        <w:rPr>
          <w:rFonts w:hint="eastAsia"/>
          <w:b/>
          <w:color w:val="auto"/>
          <w:sz w:val="32"/>
        </w:rPr>
        <w:t>办案思路及策略</w:t>
      </w:r>
      <w:r>
        <w:rPr>
          <w:rFonts w:hint="eastAsia"/>
          <w:b/>
          <w:color w:val="auto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b w:val="0"/>
          <w:color w:val="auto"/>
          <w:kern w:val="2"/>
          <w:sz w:val="32"/>
          <w:lang w:val="en-US" w:eastAsia="zh-CN"/>
        </w:rPr>
        <w:t>（300字）</w:t>
      </w:r>
      <w:r>
        <w:rPr>
          <w:rFonts w:hint="eastAsia"/>
          <w:b/>
          <w:color w:val="auto"/>
          <w:sz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13"/>
        <w:jc w:val="both"/>
        <w:textAlignment w:val="auto"/>
        <w:outlineLvl w:val="9"/>
        <w:rPr>
          <w:rFonts w:hint="eastAsia"/>
          <w:b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13"/>
        <w:jc w:val="both"/>
        <w:textAlignment w:val="auto"/>
        <w:outlineLvl w:val="9"/>
        <w:rPr>
          <w:rFonts w:hint="eastAsia"/>
          <w:b w:val="0"/>
          <w:color w:val="auto"/>
          <w:sz w:val="32"/>
          <w:lang w:eastAsia="zh-CN"/>
        </w:rPr>
      </w:pPr>
      <w:r>
        <w:rPr>
          <w:rFonts w:hint="eastAsia"/>
          <w:b/>
          <w:color w:val="auto"/>
          <w:sz w:val="32"/>
          <w:lang w:eastAsia="zh-CN"/>
        </w:rPr>
        <w:t>案件办理的</w:t>
      </w:r>
      <w:r>
        <w:rPr>
          <w:rFonts w:hint="eastAsia"/>
          <w:b/>
          <w:color w:val="auto"/>
          <w:sz w:val="32"/>
        </w:rPr>
        <w:t>启示</w:t>
      </w:r>
      <w:r>
        <w:rPr>
          <w:rFonts w:hint="eastAsia"/>
          <w:b/>
          <w:color w:val="auto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b w:val="0"/>
          <w:color w:val="auto"/>
          <w:kern w:val="2"/>
          <w:sz w:val="32"/>
          <w:lang w:val="en-US" w:eastAsia="zh-CN"/>
        </w:rPr>
        <w:t>（200字）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13"/>
        <w:jc w:val="both"/>
        <w:textAlignment w:val="auto"/>
        <w:outlineLvl w:val="9"/>
        <w:rPr>
          <w:rFonts w:hint="eastAsia"/>
          <w:b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13"/>
        <w:jc w:val="both"/>
        <w:textAlignment w:val="auto"/>
        <w:outlineLvl w:val="9"/>
        <w:rPr>
          <w:rFonts w:hint="eastAsia"/>
          <w:b/>
          <w:color w:val="auto"/>
          <w:sz w:val="32"/>
        </w:rPr>
      </w:pPr>
      <w:r>
        <w:rPr>
          <w:rFonts w:hint="eastAsia"/>
          <w:b/>
          <w:color w:val="auto"/>
          <w:sz w:val="32"/>
          <w:lang w:eastAsia="zh-CN"/>
        </w:rPr>
        <w:t>省级报送单位意见：</w:t>
      </w:r>
      <w:r>
        <w:rPr>
          <w:rFonts w:hint="eastAsia" w:ascii="仿宋_GB2312" w:hAnsi="仿宋_GB2312" w:eastAsia="仿宋_GB2312"/>
          <w:b w:val="0"/>
          <w:color w:val="auto"/>
          <w:kern w:val="2"/>
          <w:sz w:val="32"/>
          <w:lang w:val="en-US" w:eastAsia="zh-CN"/>
        </w:rPr>
        <w:t>（需加盖报送单位公章）</w:t>
      </w:r>
    </w:p>
    <w:p>
      <w:pPr>
        <w:tabs>
          <w:tab w:val="left" w:pos="0"/>
        </w:tabs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/>
        </w:rPr>
        <w:t>附件2</w:t>
      </w:r>
    </w:p>
    <w:p>
      <w:pPr>
        <w:tabs>
          <w:tab w:val="left" w:pos="0"/>
        </w:tabs>
        <w:rPr>
          <w:rFonts w:hint="eastAsia"/>
          <w:color w:val="auto"/>
        </w:rPr>
      </w:pPr>
    </w:p>
    <w:p>
      <w:pPr>
        <w:jc w:val="center"/>
        <w:rPr>
          <w:rFonts w:hint="eastAsia" w:ascii="宋体" w:hAnsi="宋体"/>
          <w:b/>
          <w:color w:val="auto"/>
          <w:sz w:val="36"/>
        </w:rPr>
      </w:pPr>
      <w:r>
        <w:rPr>
          <w:rFonts w:hint="eastAsia" w:ascii="宋体" w:hAnsi="宋体"/>
          <w:b/>
          <w:color w:val="auto"/>
          <w:sz w:val="36"/>
        </w:rPr>
        <w:t>妇女儿童维权优秀案例征集</w:t>
      </w:r>
      <w:r>
        <w:rPr>
          <w:rFonts w:hint="eastAsia" w:ascii="宋体" w:hAnsi="宋体"/>
          <w:b/>
          <w:color w:val="auto"/>
          <w:sz w:val="36"/>
          <w:lang w:eastAsia="zh-CN"/>
        </w:rPr>
        <w:t>附交材料</w:t>
      </w:r>
    </w:p>
    <w:p>
      <w:pPr>
        <w:widowControl w:val="0"/>
        <w:numPr>
          <w:ilvl w:val="0"/>
          <w:numId w:val="0"/>
        </w:numPr>
        <w:tabs>
          <w:tab w:val="left" w:pos="0"/>
          <w:tab w:val="left" w:pos="720"/>
        </w:tabs>
        <w:ind w:left="0" w:leftChars="0" w:firstLine="640" w:firstLineChars="200"/>
        <w:jc w:val="both"/>
        <w:rPr>
          <w:rFonts w:hint="eastAsia" w:ascii="仿宋_GB2312" w:hAnsi="仿宋_GB2312" w:eastAsia="仿宋_GB2312"/>
          <w:color w:val="auto"/>
          <w:sz w:val="32"/>
        </w:rPr>
      </w:pPr>
    </w:p>
    <w:p>
      <w:pPr>
        <w:widowControl w:val="0"/>
        <w:numPr>
          <w:ilvl w:val="0"/>
          <w:numId w:val="0"/>
        </w:numPr>
        <w:tabs>
          <w:tab w:val="left" w:pos="0"/>
          <w:tab w:val="left" w:pos="720"/>
        </w:tabs>
        <w:ind w:left="0" w:leftChars="0" w:firstLine="640" w:firstLineChars="200"/>
        <w:jc w:val="both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上报案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例</w:t>
      </w:r>
      <w:r>
        <w:rPr>
          <w:rFonts w:hint="eastAsia" w:ascii="仿宋_GB2312" w:hAnsi="仿宋_GB2312" w:eastAsia="仿宋_GB2312"/>
          <w:color w:val="auto"/>
          <w:sz w:val="32"/>
        </w:rPr>
        <w:t>除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按照</w:t>
      </w:r>
      <w:r>
        <w:rPr>
          <w:rFonts w:hint="eastAsia" w:ascii="仿宋_GB2312" w:hAnsi="仿宋_GB2312" w:eastAsia="仿宋_GB2312"/>
          <w:color w:val="auto"/>
          <w:sz w:val="32"/>
        </w:rPr>
        <w:t>附件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1的格式报送外，</w:t>
      </w:r>
      <w:r>
        <w:rPr>
          <w:rFonts w:hint="eastAsia" w:ascii="仿宋_GB2312" w:hAnsi="仿宋_GB2312" w:eastAsia="仿宋_GB2312"/>
          <w:color w:val="auto"/>
          <w:sz w:val="32"/>
        </w:rPr>
        <w:t>还应当一并提交以下材料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（复印件）作为附件</w:t>
      </w:r>
      <w:r>
        <w:rPr>
          <w:rFonts w:hint="eastAsia" w:ascii="仿宋_GB2312" w:hAnsi="仿宋_GB2312" w:eastAsia="仿宋_GB2312"/>
          <w:color w:val="auto"/>
          <w:sz w:val="32"/>
        </w:rPr>
        <w:t>：</w:t>
      </w:r>
    </w:p>
    <w:p>
      <w:pPr>
        <w:numPr>
          <w:ilvl w:val="0"/>
          <w:numId w:val="2"/>
        </w:numPr>
        <w:tabs>
          <w:tab w:val="left" w:pos="0"/>
          <w:tab w:val="left" w:pos="900"/>
          <w:tab w:val="clear" w:pos="1320"/>
        </w:tabs>
        <w:ind w:left="0" w:firstLine="600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裁判（决定）书、仲裁裁判书、调解书（包括法院调解书、仲裁调解书和当事人在经律师见证达成的调解协议）或者行政处理（复议）决定等法律文书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复印件</w:t>
      </w:r>
      <w:r>
        <w:rPr>
          <w:rFonts w:hint="eastAsia" w:ascii="仿宋_GB2312" w:hAnsi="仿宋_GB2312" w:eastAsia="仿宋_GB2312"/>
          <w:color w:val="auto"/>
          <w:sz w:val="32"/>
        </w:rPr>
        <w:t>；</w:t>
      </w:r>
    </w:p>
    <w:p>
      <w:pPr>
        <w:widowControl w:val="0"/>
        <w:numPr>
          <w:ilvl w:val="0"/>
          <w:numId w:val="2"/>
        </w:numPr>
        <w:tabs>
          <w:tab w:val="left" w:pos="1260"/>
          <w:tab w:val="clear" w:pos="1320"/>
        </w:tabs>
        <w:ind w:left="0" w:firstLine="600" w:firstLineChars="0"/>
        <w:jc w:val="both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  <w:lang w:eastAsia="zh-CN"/>
        </w:rPr>
        <w:t>律师需提供</w:t>
      </w:r>
      <w:r>
        <w:rPr>
          <w:rFonts w:hint="eastAsia" w:ascii="仿宋_GB2312" w:hAnsi="仿宋_GB2312" w:eastAsia="仿宋_GB2312"/>
          <w:color w:val="auto"/>
          <w:sz w:val="32"/>
        </w:rPr>
        <w:t>委托代理协议、授权委托书等委托手续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，以及</w:t>
      </w:r>
      <w:r>
        <w:rPr>
          <w:rFonts w:hint="eastAsia" w:ascii="仿宋_GB2312" w:hAnsi="仿宋_GB2312" w:eastAsia="仿宋_GB2312"/>
          <w:color w:val="auto"/>
          <w:sz w:val="32"/>
        </w:rPr>
        <w:t>代理词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color w:val="auto"/>
          <w:sz w:val="32"/>
        </w:rPr>
        <w:t>答辩状、辩护词或者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起诉</w:t>
      </w:r>
      <w:r>
        <w:rPr>
          <w:rFonts w:hint="eastAsia" w:ascii="仿宋_GB2312" w:hAnsi="仿宋_GB2312" w:eastAsia="仿宋_GB2312"/>
          <w:color w:val="auto"/>
          <w:sz w:val="32"/>
        </w:rPr>
        <w:t>书、上诉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状</w:t>
      </w:r>
      <w:r>
        <w:rPr>
          <w:rFonts w:hint="eastAsia" w:ascii="仿宋_GB2312" w:hAnsi="仿宋_GB2312" w:eastAsia="仿宋_GB2312"/>
          <w:color w:val="auto"/>
          <w:sz w:val="32"/>
        </w:rPr>
        <w:t>、申诉书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color w:val="auto"/>
          <w:sz w:val="32"/>
        </w:rPr>
        <w:t>行政复议（申诉）申请书、国家赔偿申请书等法律文书；</w:t>
      </w:r>
    </w:p>
    <w:p>
      <w:pPr>
        <w:numPr>
          <w:ilvl w:val="0"/>
          <w:numId w:val="2"/>
        </w:numPr>
        <w:tabs>
          <w:tab w:val="left" w:pos="0"/>
          <w:tab w:val="left" w:pos="900"/>
          <w:tab w:val="clear" w:pos="1320"/>
        </w:tabs>
        <w:ind w:left="0" w:firstLine="600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  <w:lang w:eastAsia="zh-CN"/>
        </w:rPr>
        <w:t>检察官可提供公诉书、抗诉状、建议函</w:t>
      </w:r>
      <w:r>
        <w:rPr>
          <w:rFonts w:hint="eastAsia" w:ascii="仿宋_GB2312" w:hAnsi="仿宋_GB2312" w:eastAsia="仿宋_GB2312"/>
          <w:color w:val="auto"/>
          <w:sz w:val="32"/>
        </w:rPr>
        <w:t>等法律文件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复印件</w:t>
      </w:r>
      <w:r>
        <w:rPr>
          <w:rFonts w:hint="eastAsia" w:ascii="仿宋_GB2312" w:hAnsi="仿宋_GB2312" w:eastAsia="仿宋_GB2312"/>
          <w:color w:val="auto"/>
          <w:sz w:val="32"/>
        </w:rPr>
        <w:t>；</w:t>
      </w:r>
    </w:p>
    <w:p>
      <w:pPr>
        <w:numPr>
          <w:ilvl w:val="0"/>
          <w:numId w:val="2"/>
        </w:numPr>
        <w:tabs>
          <w:tab w:val="left" w:pos="0"/>
          <w:tab w:val="left" w:pos="900"/>
          <w:tab w:val="clear" w:pos="1320"/>
        </w:tabs>
        <w:ind w:left="0" w:firstLine="600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</w:rPr>
        <w:t>主要证据复印件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等</w:t>
      </w:r>
      <w:r>
        <w:rPr>
          <w:rFonts w:hint="eastAsia" w:ascii="仿宋_GB2312" w:hAnsi="仿宋_GB2312" w:eastAsia="仿宋_GB2312"/>
          <w:color w:val="auto"/>
          <w:sz w:val="32"/>
        </w:rPr>
        <w:t>与承办案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件相</w:t>
      </w:r>
      <w:r>
        <w:rPr>
          <w:rFonts w:hint="eastAsia" w:ascii="仿宋_GB2312" w:hAnsi="仿宋_GB2312" w:eastAsia="仿宋_GB2312"/>
          <w:color w:val="auto"/>
          <w:sz w:val="32"/>
        </w:rPr>
        <w:t>关的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关键</w:t>
      </w:r>
      <w:r>
        <w:rPr>
          <w:rFonts w:hint="eastAsia" w:ascii="仿宋_GB2312" w:hAnsi="仿宋_GB2312" w:eastAsia="仿宋_GB2312"/>
          <w:color w:val="auto"/>
          <w:sz w:val="32"/>
        </w:rPr>
        <w:t>材料。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、"/>
      <w:lvlJc w:val="left"/>
      <w:pPr>
        <w:tabs>
          <w:tab w:val="left" w:pos="1320"/>
        </w:tabs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1">
    <w:nsid w:val="0000000E"/>
    <w:multiLevelType w:val="multilevel"/>
    <w:tmpl w:val="0000000E"/>
    <w:lvl w:ilvl="0" w:tentative="0">
      <w:start w:val="1"/>
      <w:numFmt w:val="chineseCountingThousand"/>
      <w:lvlText w:val="%1、"/>
      <w:lvlJc w:val="left"/>
      <w:pPr>
        <w:tabs>
          <w:tab w:val="left" w:pos="1020"/>
        </w:tabs>
        <w:ind w:left="10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2112E"/>
    <w:rsid w:val="00CF2925"/>
    <w:rsid w:val="0D8956B4"/>
    <w:rsid w:val="12B45C0E"/>
    <w:rsid w:val="13E213C7"/>
    <w:rsid w:val="186041DB"/>
    <w:rsid w:val="209234BC"/>
    <w:rsid w:val="22121FD6"/>
    <w:rsid w:val="24403A16"/>
    <w:rsid w:val="365C670E"/>
    <w:rsid w:val="38C76163"/>
    <w:rsid w:val="3E5E1AA9"/>
    <w:rsid w:val="4CEA53A6"/>
    <w:rsid w:val="4F7B11A9"/>
    <w:rsid w:val="52806068"/>
    <w:rsid w:val="547E1674"/>
    <w:rsid w:val="5637266A"/>
    <w:rsid w:val="56621CFB"/>
    <w:rsid w:val="5B76469C"/>
    <w:rsid w:val="5E0101E5"/>
    <w:rsid w:val="603B0EF8"/>
    <w:rsid w:val="611A08EB"/>
    <w:rsid w:val="65AF1B3E"/>
    <w:rsid w:val="67405703"/>
    <w:rsid w:val="6A49091E"/>
    <w:rsid w:val="6A4E5F2D"/>
    <w:rsid w:val="6DBA6371"/>
    <w:rsid w:val="6DFC1411"/>
    <w:rsid w:val="70D061DF"/>
    <w:rsid w:val="713A44BE"/>
    <w:rsid w:val="76357986"/>
    <w:rsid w:val="77BE16AF"/>
    <w:rsid w:val="78021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信访处</Company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2019-05-10T02:55:00Z</dcterms:created>
  <dc:creator>王燕</dc:creator>
  <cp:lastModifiedBy>布卡布卡</cp:lastModifiedBy>
  <cp:lastPrinted>2020-06-22T01:26:00Z</cp:lastPrinted>
  <dcterms:modified xsi:type="dcterms:W3CDTF">2020-08-28T02:15:31Z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