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atLeast"/>
        <w:ind w:left="0" w:leftChars="0" w:firstLine="0" w:firstLineChars="0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</w:p>
    <w:p>
      <w:pPr>
        <w:widowControl/>
        <w:spacing w:line="20" w:lineRule="atLeast"/>
        <w:ind w:left="0" w:leftChars="0" w:right="0" w:rightChars="0" w:firstLine="0" w:firstLineChars="0"/>
        <w:jc w:val="center"/>
        <w:rPr>
          <w:rFonts w:ascii="仿宋_GB2312" w:hAnsi="仿宋_GB2312" w:eastAsia="仿宋_GB2312" w:cs="仿宋_GB2312"/>
          <w:b/>
          <w:color w:val="000011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_GB2312" w:cs="仿宋_GB2312"/>
          <w:b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年度福建省律师知识产权十大典型案例推荐表</w:t>
      </w:r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058"/>
        <w:gridCol w:w="144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  <w:t>裁判机构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1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  <w:t>裁判时间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  <w:t>案  号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1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sz w:val="24"/>
                <w:szCs w:val="24"/>
              </w:rPr>
              <w:t>主审人员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  <w:t>代理律师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  <w:t>推荐人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11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  <w:t>律师事务所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  <w:t>电子邮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11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center"/>
              <w:rPr>
                <w:rFonts w:ascii="宋体" w:hAnsi="宋体" w:eastAsia="仿宋_GB2312" w:cs="仿宋"/>
                <w:color w:val="0000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  <w:t>案例简介：（简要陈述案情、判决要点）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  <w:t>推荐理由：（简要归纳案例的创新点、研究价值、借鉴价值或指导意义）</w:t>
            </w: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4485B"/>
    <w:rsid w:val="660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2018-03-15T01:29:00Z</dcterms:created>
  <dc:creator>lenovo</dc:creator>
  <cp:lastModifiedBy>lenovo</cp:lastModifiedBy>
  <dcterms:modified xsi:type="dcterms:W3CDTF">2018-03-15T01:29:47Z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