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rPr>
          <w:rFonts w:ascii="宋体" w:hAnsi="宋体" w:cs="宋体"/>
          <w:b/>
          <w:bCs/>
          <w:kern w:val="0"/>
          <w:sz w:val="36"/>
          <w:szCs w:val="36"/>
        </w:rPr>
      </w:pPr>
      <w:r>
        <w:rPr>
          <w:rFonts w:hint="eastAsia" w:ascii="宋体" w:hAnsi="宋体" w:cs="宋体"/>
          <w:b/>
          <w:bCs/>
          <w:kern w:val="0"/>
          <w:sz w:val="36"/>
          <w:szCs w:val="36"/>
        </w:rPr>
        <w:t>福州市律师服务收费标准指导意见</w:t>
      </w:r>
    </w:p>
    <w:p>
      <w:pPr>
        <w:widowControl/>
        <w:shd w:val="clear" w:color="auto" w:fill="FFFFFF"/>
        <w:spacing w:line="460" w:lineRule="exact"/>
        <w:jc w:val="center"/>
        <w:rPr>
          <w:rFonts w:ascii="宋体" w:hAnsi="宋体" w:cs="宋体"/>
          <w:b/>
          <w:bCs/>
          <w:kern w:val="0"/>
          <w:sz w:val="36"/>
          <w:szCs w:val="36"/>
        </w:rPr>
      </w:pPr>
      <w:r>
        <w:rPr>
          <w:rFonts w:hint="eastAsia" w:ascii="宋体" w:hAnsi="宋体" w:cs="宋体"/>
          <w:b/>
          <w:bCs/>
          <w:kern w:val="0"/>
          <w:sz w:val="36"/>
          <w:szCs w:val="36"/>
        </w:rPr>
        <w:t>（</w:t>
      </w:r>
      <w:r>
        <w:rPr>
          <w:rFonts w:hint="eastAsia" w:ascii="宋体" w:hAnsi="宋体" w:cs="宋体"/>
          <w:bCs/>
          <w:i/>
          <w:kern w:val="0"/>
          <w:sz w:val="30"/>
          <w:szCs w:val="30"/>
          <w:u w:val="single"/>
        </w:rPr>
        <w:t>讨论稿</w:t>
      </w:r>
      <w:r>
        <w:rPr>
          <w:rFonts w:hint="eastAsia" w:ascii="宋体" w:hAnsi="宋体" w:cs="宋体"/>
          <w:b/>
          <w:bCs/>
          <w:kern w:val="0"/>
          <w:sz w:val="36"/>
          <w:szCs w:val="36"/>
        </w:rPr>
        <w:t>）</w:t>
      </w:r>
    </w:p>
    <w:p>
      <w:pPr>
        <w:pStyle w:val="8"/>
        <w:shd w:val="clear" w:color="auto" w:fill="FFFFFF"/>
        <w:spacing w:before="0" w:beforeAutospacing="0" w:after="0" w:afterAutospacing="0" w:line="460" w:lineRule="exact"/>
        <w:jc w:val="center"/>
        <w:rPr>
          <w:rFonts w:ascii="Helvetica" w:hAnsi="Helvetica" w:cs="Helvetica"/>
        </w:rPr>
      </w:pPr>
      <w:r>
        <w:rPr>
          <w:rFonts w:hint="eastAsia" w:ascii="仿宋" w:hAnsi="仿宋" w:eastAsia="仿宋" w:cs="Helvetica"/>
        </w:rPr>
        <w:t>（福州市律师协会第</w:t>
      </w:r>
      <w:r>
        <w:rPr>
          <w:rFonts w:hint="eastAsia" w:ascii="仿宋" w:hAnsi="仿宋" w:eastAsia="仿宋" w:cs="Helvetica"/>
          <w:lang w:eastAsia="zh-CN"/>
        </w:rPr>
        <w:t>六</w:t>
      </w:r>
      <w:bookmarkStart w:id="0" w:name="_GoBack"/>
      <w:bookmarkEnd w:id="0"/>
      <w:r>
        <w:rPr>
          <w:rFonts w:hint="eastAsia" w:ascii="仿宋" w:hAnsi="仿宋" w:eastAsia="仿宋" w:cs="Helvetica"/>
        </w:rPr>
        <w:t>届理事会第【】次会议通过）</w:t>
      </w:r>
    </w:p>
    <w:p>
      <w:pPr>
        <w:widowControl/>
        <w:shd w:val="clear" w:color="auto" w:fill="FFFFFF"/>
        <w:spacing w:line="460" w:lineRule="exact"/>
        <w:ind w:firstLine="480"/>
        <w:jc w:val="left"/>
        <w:rPr>
          <w:rFonts w:ascii="宋体" w:hAnsi="宋体" w:cs="宋体"/>
          <w:kern w:val="0"/>
          <w:sz w:val="24"/>
        </w:rPr>
      </w:pP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为指导、规范本市律师服务收费行为，维护委托人和律师的合法权益，促进律师业健康发展，依据《中华人民共和国价格法》、《中华人民共和国律师法》和《国家发展改革委关于放开部分服务价格意见的通知》（发改价格〔2014〕2755号）等有关规定，结合本市实际情况，制定本指导意见。</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本指导意见适用于在本市行政区域内依法设立的律师事务所、外地律师事务所分支机构在本市为委托人提供法律服务的收费行为。</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律师事务所在本市行政区域外设立的分支机构适用分支机构所在地的收费规定。</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律师事务所异地提供法律服务，可以执行本办法，也可以执行提供法律服务所在地的收费规定，具体由律师事务所和委托人协商确定。</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律师服务收费是律师事务所依法接受委托，指派律师办理法律事务，向委托人收取服务报酬的行为。</w:t>
      </w:r>
    </w:p>
    <w:p>
      <w:pPr>
        <w:widowControl/>
        <w:shd w:val="clear" w:color="auto" w:fill="FFFFFF"/>
        <w:spacing w:line="460" w:lineRule="exact"/>
        <w:ind w:firstLine="480"/>
        <w:jc w:val="left"/>
        <w:rPr>
          <w:rFonts w:ascii="宋体" w:hAnsi="宋体" w:cs="宋体"/>
          <w:kern w:val="0"/>
          <w:sz w:val="24"/>
        </w:rPr>
      </w:pPr>
      <w:r>
        <w:rPr>
          <w:rFonts w:ascii="宋体" w:hAnsi="宋体" w:cs="宋体"/>
          <w:kern w:val="0"/>
          <w:sz w:val="24"/>
        </w:rPr>
        <w:t>律师事务所收取律师费应向委托人开具等额、合法、有效的发票。禁止收费不开票行为</w:t>
      </w:r>
      <w:r>
        <w:rPr>
          <w:rFonts w:hint="eastAsia" w:ascii="宋体" w:hAnsi="宋体" w:cs="宋体"/>
          <w:kern w:val="0"/>
          <w:sz w:val="24"/>
        </w:rPr>
        <w:t>，</w:t>
      </w:r>
      <w:r>
        <w:rPr>
          <w:rFonts w:ascii="宋体" w:hAnsi="宋体" w:cs="宋体"/>
          <w:kern w:val="0"/>
          <w:sz w:val="24"/>
        </w:rPr>
        <w:t>禁止任何形式的合同外收费行为。</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法律服务过程中发生的需要向第三方支付的费用（包括但不限于诉讼费、仲裁费、鉴定费、检验费、评估费、公证费、查档费）及经委托人书面同意的代委托人支付的费用，不属于律师服务费，由委托人另行支付</w:t>
      </w:r>
      <w:r>
        <w:rPr>
          <w:rFonts w:ascii="宋体" w:hAnsi="宋体" w:cs="宋体"/>
          <w:kern w:val="0"/>
          <w:sz w:val="24"/>
        </w:rPr>
        <w:t>，但委托合同另有约定的除外。</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异地办案差旅费，不属于律师服务费，由委托人另行支付</w:t>
      </w:r>
      <w:r>
        <w:rPr>
          <w:rFonts w:ascii="宋体" w:hAnsi="宋体" w:cs="宋体"/>
          <w:kern w:val="0"/>
          <w:sz w:val="24"/>
        </w:rPr>
        <w:t>，但委托合同另有约定的除外</w:t>
      </w:r>
      <w:r>
        <w:rPr>
          <w:rFonts w:hint="eastAsia" w:ascii="宋体" w:hAnsi="宋体" w:cs="宋体"/>
          <w:kern w:val="0"/>
          <w:sz w:val="24"/>
        </w:rPr>
        <w:t>。</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律师服务收费遵循公开公平、自愿有偿、诚实信用、委托人付费的原则。</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律师事务所应当努力提高服务质量，合理控制服务成本，为委托人提供方便、高效、优质的法律服务。</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律师服务收费实行市场调节价为主、政府指导价为辅的价格管理方式。</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律师事务所依法提供下列法律服务实行政府指导价：</w:t>
      </w:r>
    </w:p>
    <w:p>
      <w:pPr>
        <w:widowControl/>
        <w:numPr>
          <w:ilvl w:val="1"/>
          <w:numId w:val="2"/>
        </w:numPr>
        <w:shd w:val="clear" w:color="auto" w:fill="FFFFFF"/>
        <w:spacing w:line="460" w:lineRule="exact"/>
        <w:ind w:left="-2" w:leftChars="-1" w:firstLine="710" w:firstLineChars="296"/>
        <w:jc w:val="left"/>
        <w:rPr>
          <w:rFonts w:ascii="宋体" w:hAnsi="宋体" w:cs="宋体"/>
          <w:kern w:val="0"/>
          <w:sz w:val="24"/>
        </w:rPr>
      </w:pPr>
      <w:r>
        <w:rPr>
          <w:rFonts w:hint="eastAsia" w:ascii="宋体" w:hAnsi="宋体" w:cs="宋体"/>
          <w:kern w:val="0"/>
          <w:sz w:val="24"/>
        </w:rPr>
        <w:t>担任刑事案件犯罪嫌疑人、被告人的辩护人以及刑事案件自诉人、被害人的代理人；</w:t>
      </w:r>
    </w:p>
    <w:p>
      <w:pPr>
        <w:widowControl/>
        <w:numPr>
          <w:ilvl w:val="1"/>
          <w:numId w:val="2"/>
        </w:numPr>
        <w:shd w:val="clear" w:color="auto" w:fill="FFFFFF"/>
        <w:spacing w:line="460" w:lineRule="exact"/>
        <w:ind w:left="-2" w:leftChars="-1" w:firstLine="710" w:firstLineChars="296"/>
        <w:jc w:val="left"/>
        <w:rPr>
          <w:rFonts w:ascii="宋体" w:hAnsi="宋体" w:cs="宋体"/>
          <w:kern w:val="0"/>
          <w:sz w:val="24"/>
        </w:rPr>
      </w:pPr>
      <w:r>
        <w:rPr>
          <w:rFonts w:hint="eastAsia" w:ascii="宋体" w:hAnsi="宋体" w:cs="宋体"/>
          <w:kern w:val="0"/>
          <w:sz w:val="24"/>
        </w:rPr>
        <w:t>担任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w:t>
      </w:r>
    </w:p>
    <w:p>
      <w:pPr>
        <w:widowControl/>
        <w:numPr>
          <w:ilvl w:val="1"/>
          <w:numId w:val="2"/>
        </w:numPr>
        <w:shd w:val="clear" w:color="auto" w:fill="FFFFFF"/>
        <w:spacing w:line="460" w:lineRule="exact"/>
        <w:ind w:left="-2" w:leftChars="-1" w:firstLine="710" w:firstLineChars="296"/>
        <w:jc w:val="left"/>
        <w:rPr>
          <w:rFonts w:ascii="宋体" w:hAnsi="宋体" w:cs="宋体"/>
          <w:kern w:val="0"/>
          <w:sz w:val="24"/>
        </w:rPr>
      </w:pPr>
      <w:r>
        <w:rPr>
          <w:rFonts w:hint="eastAsia" w:ascii="宋体" w:hAnsi="宋体" w:cs="宋体"/>
          <w:kern w:val="0"/>
          <w:sz w:val="24"/>
        </w:rPr>
        <w:t>担任公民请求国家赔偿案件的代理人。</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上述律师服务的政府指导价的基准价和浮动幅度由福建省物价局会同福建省司法厅制定。律师事务所应在政府指导价范围或幅度内与委托人协商确定具体案件的收费标准。</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律师事务所提供除本指导意见第【六】条以外的法律服务实行市场调节价。</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对于实行市场调节价的法律服务，本协会综合考虑本市经济发展水平、各地区经济发展差异、社会承受能力、律师业的长远发展、律师服务社会平均成本、法定税金等因素，确定参考性收费标准。该参考性收费标准仅供全市各律师事务所参考。各</w:t>
      </w:r>
      <w:r>
        <w:rPr>
          <w:rFonts w:ascii="宋体" w:hAnsi="宋体" w:cs="宋体"/>
          <w:kern w:val="0"/>
          <w:sz w:val="24"/>
        </w:rPr>
        <w:t>律师事务所应当按照</w:t>
      </w:r>
      <w:r>
        <w:rPr>
          <w:rFonts w:hint="eastAsia" w:ascii="宋体" w:hAnsi="宋体" w:cs="宋体"/>
          <w:kern w:val="0"/>
          <w:sz w:val="24"/>
        </w:rPr>
        <w:t>该参考性收费</w:t>
      </w:r>
      <w:r>
        <w:rPr>
          <w:rFonts w:ascii="宋体" w:hAnsi="宋体" w:cs="宋体"/>
          <w:kern w:val="0"/>
          <w:sz w:val="24"/>
        </w:rPr>
        <w:t>标准</w:t>
      </w:r>
      <w:r>
        <w:rPr>
          <w:rFonts w:hint="eastAsia" w:ascii="宋体" w:hAnsi="宋体" w:cs="宋体"/>
          <w:kern w:val="0"/>
          <w:sz w:val="24"/>
        </w:rPr>
        <w:t>的</w:t>
      </w:r>
      <w:r>
        <w:rPr>
          <w:rFonts w:ascii="宋体" w:hAnsi="宋体" w:cs="宋体"/>
          <w:kern w:val="0"/>
          <w:sz w:val="24"/>
        </w:rPr>
        <w:t>要求，考虑经营成本、资信水平、法律事务难易程度、律师执业经验，以及律师可能承担的工作量、风险和责任等因素</w:t>
      </w:r>
      <w:r>
        <w:rPr>
          <w:rFonts w:hint="eastAsia" w:ascii="宋体" w:hAnsi="宋体" w:cs="宋体"/>
          <w:kern w:val="0"/>
          <w:sz w:val="24"/>
        </w:rPr>
        <w:t>，及时制定本所的收费标准，并在本指导意见下发之日起【30】日内将本所的收费标准提交本协会备案。</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律师服务收费实行明码标价制度。律师事务所应当在显著位置公示收费项目、收费标准、收费依据、服务内容、价格监督投诉电话等信息，实行阳光收费，并接受社会监督，不得收取任何未予标明的费用。</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 xml:space="preserve"> 实行市场调节价的法律服务，由律师事务所根据本所公示的收费标准与委托人协商确定收费内容。</w:t>
      </w:r>
    </w:p>
    <w:p>
      <w:pPr>
        <w:widowControl/>
        <w:shd w:val="clear" w:color="auto" w:fill="FFFFFF"/>
        <w:spacing w:line="460" w:lineRule="exact"/>
        <w:ind w:firstLine="360" w:firstLineChars="150"/>
        <w:jc w:val="left"/>
        <w:rPr>
          <w:rFonts w:ascii="宋体" w:hAnsi="宋体" w:cs="宋体"/>
          <w:kern w:val="0"/>
          <w:sz w:val="24"/>
        </w:rPr>
      </w:pPr>
      <w:r>
        <w:rPr>
          <w:rFonts w:hint="eastAsia" w:ascii="宋体" w:hAnsi="宋体" w:cs="宋体"/>
          <w:kern w:val="0"/>
          <w:sz w:val="24"/>
        </w:rPr>
        <w:t>律师事务所与委托人协商律师服务收费时可以考虑以下因素：</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律师事务所及承办律师耗费的工作时间以及其他必要成本支出；</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法律事务的难易程度以及律师提供法律服务所需的技能；</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办理法律事务所需律师及法律辅助人员人数；</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委托人的承受能力和当地经济发展水平；</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律师事务所及承办律师可能承担的风险和责任；</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律师事务所及律师的经验、声望和业务能力等；</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法律事务所涉及的标的额和预期获得的结果；</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委托人或者由委托事项本身所限定的时限；</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当地提供类似法律服务通常收取的律师服务费标准；</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是否实行风险代理收费以及支付方式是否附条件；</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与委托人之间的职业关系的性质和时间长度；</w:t>
      </w:r>
    </w:p>
    <w:p>
      <w:pPr>
        <w:widowControl/>
        <w:numPr>
          <w:ilvl w:val="0"/>
          <w:numId w:val="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接受委托使律师事务所丧失其他业务机会的可能性。</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实行政府指导价的律师服务收费可以根据不同的服务内容，采取计件收费、按标的额比例收费和计时收费方式，不得采取其他收费方式。</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实行市场调节价的法律服务，可以根据不同的服务内容，采取计时收费、计件收费、按标的额比例收费以及律师事务所与委托人约定的其他收费方式。</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律师事务所应与委托人协商确定收费方式，并在律师服务收费合同或者委托代理合同中明确约定。</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计时收费是指按照确定的单位时间收费标准（计时收费标准），根据律师提供法律服务所付出的有效工作时间（计费工作时间），计算收取律师服务费的收费方式，可适用于全部法律事务。律师事务所可以按照律师的经验、声望和能力等确定不同的计时收费标准。计时收费标准可以在每小时人民币500元至5000元之间确定。采取计时收费方式，按照附件一《计时收费规则》计收律师服务费。</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计件收费是指按照律师提供法律服务的件数收取律师服务费的收费方式，一般适用于不涉及财产关系的诉讼或者非诉讼法律事务。</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按标的额比例收费是根据法律事务涉及的标的额，按一定比例收取律师服务费的收费方式，适用于涉及财产关系的诉讼或者非诉讼法律事务。</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代理实行市场调节价的诉讼法律事务，可以按诉讼程序（包括但不限于第一审程序、第二审程序、审判监督程序、执行程序等）分阶段收费。</w:t>
      </w:r>
    </w:p>
    <w:p>
      <w:pPr>
        <w:widowControl/>
        <w:shd w:val="clear" w:color="auto" w:fill="FFFFFF"/>
        <w:adjustRightInd w:val="0"/>
        <w:snapToGrid w:val="0"/>
        <w:spacing w:line="460" w:lineRule="exact"/>
        <w:ind w:firstLine="482"/>
        <w:jc w:val="left"/>
        <w:rPr>
          <w:rFonts w:ascii="宋体" w:hAnsi="宋体"/>
          <w:sz w:val="24"/>
        </w:rPr>
      </w:pPr>
      <w:r>
        <w:rPr>
          <w:rFonts w:hint="eastAsia" w:ascii="宋体" w:hAnsi="宋体"/>
          <w:sz w:val="24"/>
        </w:rPr>
        <w:t>重大、疑难、复杂诉讼法律事务的收费，同时适用本指导意见第【十二】条。律师事务所与委托人约定采取计时收费方式的，适用本指导意见第【十三】条，不适用此条。约定实行风险代理收费的，适用本指导意见第【十四】条，不适用此条。</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（一）代理民事诉讼案件第一审程序的收费标准如下：</w:t>
      </w:r>
    </w:p>
    <w:p>
      <w:pPr>
        <w:widowControl/>
        <w:numPr>
          <w:ilvl w:val="0"/>
          <w:numId w:val="4"/>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不涉及财产关系的：</w:t>
      </w:r>
      <w:r>
        <w:rPr>
          <w:rFonts w:ascii="宋体" w:hAnsi="宋体" w:cs="宋体"/>
          <w:kern w:val="0"/>
          <w:sz w:val="24"/>
        </w:rPr>
        <w:t>3000</w:t>
      </w:r>
      <w:r>
        <w:rPr>
          <w:rFonts w:hint="eastAsia" w:ascii="宋体" w:hAnsi="宋体" w:cs="宋体"/>
          <w:kern w:val="0"/>
          <w:sz w:val="24"/>
        </w:rPr>
        <w:t>元～30000元/件；</w:t>
      </w:r>
    </w:p>
    <w:p>
      <w:pPr>
        <w:widowControl/>
        <w:numPr>
          <w:ilvl w:val="0"/>
          <w:numId w:val="4"/>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涉及财产关系的：基础律师服务费</w:t>
      </w:r>
      <w:r>
        <w:rPr>
          <w:rFonts w:ascii="宋体" w:hAnsi="宋体" w:cs="宋体"/>
          <w:kern w:val="0"/>
          <w:sz w:val="24"/>
        </w:rPr>
        <w:t>3000</w:t>
      </w:r>
      <w:r>
        <w:rPr>
          <w:rFonts w:hint="eastAsia" w:ascii="宋体" w:hAnsi="宋体" w:cs="宋体"/>
          <w:kern w:val="0"/>
          <w:sz w:val="24"/>
        </w:rPr>
        <w:t>～</w:t>
      </w:r>
      <w:r>
        <w:rPr>
          <w:rFonts w:ascii="宋体" w:hAnsi="宋体" w:cs="宋体"/>
          <w:kern w:val="0"/>
          <w:sz w:val="24"/>
        </w:rPr>
        <w:t>10000</w:t>
      </w:r>
      <w:r>
        <w:rPr>
          <w:rFonts w:hint="eastAsia" w:ascii="宋体" w:hAnsi="宋体" w:cs="宋体"/>
          <w:kern w:val="0"/>
          <w:sz w:val="24"/>
        </w:rPr>
        <w:t>元。争议财产标的额超过10万元的部分，按下列比例分段计算律师服务费。分段计算的律师服务费与</w:t>
      </w:r>
      <w:r>
        <w:rPr>
          <w:rFonts w:ascii="宋体" w:hAnsi="宋体" w:cs="宋体"/>
          <w:kern w:val="0"/>
          <w:sz w:val="24"/>
        </w:rPr>
        <w:t>基础律师服务费</w:t>
      </w:r>
      <w:r>
        <w:rPr>
          <w:rFonts w:hint="eastAsia" w:ascii="宋体" w:hAnsi="宋体" w:cs="宋体"/>
          <w:kern w:val="0"/>
          <w:sz w:val="24"/>
        </w:rPr>
        <w:t>累加为收费金额。</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争议财产标的额计费比率：</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0</w:t>
      </w:r>
      <w:r>
        <w:rPr>
          <w:rFonts w:hint="eastAsia" w:ascii="宋体" w:hAnsi="宋体" w:cs="宋体"/>
          <w:kern w:val="0"/>
          <w:sz w:val="24"/>
        </w:rPr>
        <w:t>万—10</w:t>
      </w:r>
      <w:r>
        <w:rPr>
          <w:rFonts w:ascii="宋体" w:hAnsi="宋体" w:cs="宋体"/>
          <w:kern w:val="0"/>
          <w:sz w:val="24"/>
        </w:rPr>
        <w:t>0</w:t>
      </w:r>
      <w:r>
        <w:rPr>
          <w:rFonts w:hint="eastAsia" w:ascii="宋体" w:hAnsi="宋体" w:cs="宋体"/>
          <w:kern w:val="0"/>
          <w:sz w:val="24"/>
        </w:rPr>
        <w:t>万元（不</w:t>
      </w:r>
      <w:r>
        <w:rPr>
          <w:rFonts w:ascii="宋体" w:hAnsi="宋体" w:cs="宋体"/>
          <w:kern w:val="0"/>
          <w:sz w:val="24"/>
        </w:rPr>
        <w:t>含</w:t>
      </w:r>
      <w:r>
        <w:rPr>
          <w:rFonts w:hint="eastAsia" w:ascii="宋体" w:hAnsi="宋体" w:cs="宋体"/>
          <w:kern w:val="0"/>
          <w:sz w:val="24"/>
        </w:rPr>
        <w:t>100万元</w:t>
      </w:r>
      <w:r>
        <w:rPr>
          <w:rFonts w:ascii="宋体" w:hAnsi="宋体" w:cs="宋体"/>
          <w:kern w:val="0"/>
          <w:sz w:val="24"/>
        </w:rPr>
        <w:t>）</w:t>
      </w:r>
      <w:r>
        <w:rPr>
          <w:rFonts w:hint="eastAsia" w:ascii="宋体" w:hAnsi="宋体" w:cs="宋体"/>
          <w:kern w:val="0"/>
          <w:sz w:val="24"/>
        </w:rPr>
        <w:t xml:space="preserve">部分             </w:t>
      </w:r>
      <w:r>
        <w:rPr>
          <w:rFonts w:ascii="宋体" w:hAnsi="宋体" w:cs="宋体"/>
          <w:kern w:val="0"/>
          <w:sz w:val="24"/>
        </w:rPr>
        <w:t xml:space="preserve"> 3</w:t>
      </w:r>
      <w:r>
        <w:rPr>
          <w:rFonts w:hint="eastAsia" w:ascii="宋体" w:hAnsi="宋体" w:cs="宋体"/>
          <w:kern w:val="0"/>
          <w:sz w:val="24"/>
        </w:rPr>
        <w:t>%～9%</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10</w:t>
      </w:r>
      <w:r>
        <w:rPr>
          <w:rFonts w:ascii="宋体" w:hAnsi="宋体" w:cs="宋体"/>
          <w:kern w:val="0"/>
          <w:sz w:val="24"/>
        </w:rPr>
        <w:t>0</w:t>
      </w:r>
      <w:r>
        <w:rPr>
          <w:rFonts w:hint="eastAsia" w:ascii="宋体" w:hAnsi="宋体" w:cs="宋体"/>
          <w:kern w:val="0"/>
          <w:sz w:val="24"/>
        </w:rPr>
        <w:t>万—500万元（不</w:t>
      </w:r>
      <w:r>
        <w:rPr>
          <w:rFonts w:ascii="宋体" w:hAnsi="宋体" w:cs="宋体"/>
          <w:kern w:val="0"/>
          <w:sz w:val="24"/>
        </w:rPr>
        <w:t>含</w:t>
      </w:r>
      <w:r>
        <w:rPr>
          <w:rFonts w:hint="eastAsia" w:ascii="宋体" w:hAnsi="宋体" w:cs="宋体"/>
          <w:kern w:val="0"/>
          <w:sz w:val="24"/>
        </w:rPr>
        <w:t>500万元</w:t>
      </w:r>
      <w:r>
        <w:rPr>
          <w:rFonts w:ascii="宋体" w:hAnsi="宋体" w:cs="宋体"/>
          <w:kern w:val="0"/>
          <w:sz w:val="24"/>
        </w:rPr>
        <w:t>）</w:t>
      </w:r>
      <w:r>
        <w:rPr>
          <w:rFonts w:hint="eastAsia" w:ascii="宋体" w:hAnsi="宋体" w:cs="宋体"/>
          <w:kern w:val="0"/>
          <w:sz w:val="24"/>
        </w:rPr>
        <w:t xml:space="preserve">部分            </w:t>
      </w:r>
      <w:r>
        <w:rPr>
          <w:rFonts w:ascii="宋体" w:hAnsi="宋体" w:cs="宋体"/>
          <w:kern w:val="0"/>
          <w:sz w:val="24"/>
        </w:rPr>
        <w:t xml:space="preserve"> 2</w:t>
      </w:r>
      <w:r>
        <w:rPr>
          <w:rFonts w:hint="eastAsia" w:ascii="宋体" w:hAnsi="宋体" w:cs="宋体"/>
          <w:kern w:val="0"/>
          <w:sz w:val="24"/>
        </w:rPr>
        <w:t>%～6%</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500万—1000万元（不</w:t>
      </w:r>
      <w:r>
        <w:rPr>
          <w:rFonts w:ascii="宋体" w:hAnsi="宋体" w:cs="宋体"/>
          <w:kern w:val="0"/>
          <w:sz w:val="24"/>
        </w:rPr>
        <w:t>含</w:t>
      </w:r>
      <w:r>
        <w:rPr>
          <w:rFonts w:hint="eastAsia" w:ascii="宋体" w:hAnsi="宋体" w:cs="宋体"/>
          <w:kern w:val="0"/>
          <w:sz w:val="24"/>
        </w:rPr>
        <w:t>100</w:t>
      </w:r>
      <w:r>
        <w:rPr>
          <w:rFonts w:ascii="宋体" w:hAnsi="宋体" w:cs="宋体"/>
          <w:kern w:val="0"/>
          <w:sz w:val="24"/>
        </w:rPr>
        <w:t>0</w:t>
      </w:r>
      <w:r>
        <w:rPr>
          <w:rFonts w:hint="eastAsia" w:ascii="宋体" w:hAnsi="宋体" w:cs="宋体"/>
          <w:kern w:val="0"/>
          <w:sz w:val="24"/>
        </w:rPr>
        <w:t>万元</w:t>
      </w:r>
      <w:r>
        <w:rPr>
          <w:rFonts w:ascii="宋体" w:hAnsi="宋体" w:cs="宋体"/>
          <w:kern w:val="0"/>
          <w:sz w:val="24"/>
        </w:rPr>
        <w:t>）</w:t>
      </w:r>
      <w:r>
        <w:rPr>
          <w:rFonts w:hint="eastAsia" w:ascii="宋体" w:hAnsi="宋体" w:cs="宋体"/>
          <w:kern w:val="0"/>
          <w:sz w:val="24"/>
        </w:rPr>
        <w:t xml:space="preserve">部分           </w:t>
      </w:r>
      <w:r>
        <w:rPr>
          <w:rFonts w:ascii="宋体" w:hAnsi="宋体" w:cs="宋体"/>
          <w:kern w:val="0"/>
          <w:sz w:val="24"/>
        </w:rPr>
        <w:t>1</w:t>
      </w:r>
      <w:r>
        <w:rPr>
          <w:rFonts w:hint="eastAsia" w:ascii="宋体" w:hAnsi="宋体" w:cs="宋体"/>
          <w:kern w:val="0"/>
          <w:sz w:val="24"/>
        </w:rPr>
        <w:t>%～3%</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1000万—5000万元（不</w:t>
      </w:r>
      <w:r>
        <w:rPr>
          <w:rFonts w:ascii="宋体" w:hAnsi="宋体" w:cs="宋体"/>
          <w:kern w:val="0"/>
          <w:sz w:val="24"/>
        </w:rPr>
        <w:t>含5000</w:t>
      </w:r>
      <w:r>
        <w:rPr>
          <w:rFonts w:hint="eastAsia" w:ascii="宋体" w:hAnsi="宋体" w:cs="宋体"/>
          <w:kern w:val="0"/>
          <w:sz w:val="24"/>
        </w:rPr>
        <w:t>万元</w:t>
      </w:r>
      <w:r>
        <w:rPr>
          <w:rFonts w:ascii="宋体" w:hAnsi="宋体" w:cs="宋体"/>
          <w:kern w:val="0"/>
          <w:sz w:val="24"/>
        </w:rPr>
        <w:t>）</w:t>
      </w:r>
      <w:r>
        <w:rPr>
          <w:rFonts w:hint="eastAsia" w:ascii="宋体" w:hAnsi="宋体" w:cs="宋体"/>
          <w:kern w:val="0"/>
          <w:sz w:val="24"/>
        </w:rPr>
        <w:t>部分          0.5%～3%</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5000万元—1亿元部分（不</w:t>
      </w:r>
      <w:r>
        <w:rPr>
          <w:rFonts w:ascii="宋体" w:hAnsi="宋体" w:cs="宋体"/>
          <w:kern w:val="0"/>
          <w:sz w:val="24"/>
        </w:rPr>
        <w:t>含1</w:t>
      </w:r>
      <w:r>
        <w:rPr>
          <w:rFonts w:hint="eastAsia" w:ascii="宋体" w:hAnsi="宋体" w:cs="宋体"/>
          <w:kern w:val="0"/>
          <w:sz w:val="24"/>
        </w:rPr>
        <w:t>亿元</w:t>
      </w:r>
      <w:r>
        <w:rPr>
          <w:rFonts w:ascii="宋体" w:hAnsi="宋体" w:cs="宋体"/>
          <w:kern w:val="0"/>
          <w:sz w:val="24"/>
        </w:rPr>
        <w:t>）</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0.</w:t>
      </w:r>
      <w:r>
        <w:rPr>
          <w:rFonts w:ascii="宋体" w:hAnsi="宋体" w:cs="宋体"/>
          <w:kern w:val="0"/>
          <w:sz w:val="24"/>
        </w:rPr>
        <w:t>5</w:t>
      </w: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 xml:space="preserve">1亿元以上部分          </w:t>
      </w:r>
      <w:r>
        <w:rPr>
          <w:rFonts w:ascii="宋体" w:hAnsi="宋体" w:cs="宋体"/>
          <w:kern w:val="0"/>
          <w:sz w:val="24"/>
        </w:rPr>
        <w:t xml:space="preserve">                    </w:t>
      </w:r>
      <w:r>
        <w:rPr>
          <w:rFonts w:hint="eastAsia" w:ascii="宋体" w:hAnsi="宋体" w:cs="宋体"/>
          <w:kern w:val="0"/>
          <w:sz w:val="24"/>
        </w:rPr>
        <w:t xml:space="preserve">     0.</w:t>
      </w:r>
      <w:r>
        <w:rPr>
          <w:rFonts w:ascii="宋体" w:hAnsi="宋体" w:cs="宋体"/>
          <w:kern w:val="0"/>
          <w:sz w:val="24"/>
        </w:rPr>
        <w:t>2</w:t>
      </w:r>
      <w:r>
        <w:rPr>
          <w:rFonts w:hint="eastAsia" w:ascii="宋体" w:hAnsi="宋体" w:cs="宋体"/>
          <w:kern w:val="0"/>
          <w:sz w:val="24"/>
        </w:rPr>
        <w:t>5%～1%</w:t>
      </w:r>
    </w:p>
    <w:p>
      <w:pPr>
        <w:widowControl/>
        <w:numPr>
          <w:ilvl w:val="0"/>
          <w:numId w:val="4"/>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代理刑事附带民事诉讼案件的民事诉讼部分，属于实行政府指导价范围的，按照政府指导价项下的民事诉讼案件标准收费；属于市场调节价范围的，由律师事务所和委托人协商确定。</w:t>
      </w:r>
    </w:p>
    <w:p>
      <w:pPr>
        <w:widowControl/>
        <w:numPr>
          <w:ilvl w:val="0"/>
          <w:numId w:val="4"/>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代理特别程序、督促程序、公示催告程序案件，可以按上述收费标准收费，也可以与委托人协商确定收费。</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（二）代理行政诉讼案件第一审程序的收费标准如下：</w:t>
      </w:r>
    </w:p>
    <w:p>
      <w:pPr>
        <w:widowControl/>
        <w:numPr>
          <w:ilvl w:val="0"/>
          <w:numId w:val="5"/>
        </w:numPr>
        <w:shd w:val="clear" w:color="auto" w:fill="FFFFFF"/>
        <w:spacing w:line="460" w:lineRule="exact"/>
        <w:ind w:left="-2" w:leftChars="-1" w:firstLine="424" w:firstLineChars="177"/>
        <w:jc w:val="left"/>
        <w:rPr>
          <w:rFonts w:ascii="宋体" w:hAnsi="宋体" w:cs="宋体"/>
          <w:kern w:val="0"/>
          <w:sz w:val="24"/>
        </w:rPr>
      </w:pPr>
      <w:r>
        <w:rPr>
          <w:rFonts w:hint="eastAsia" w:ascii="宋体" w:hAnsi="宋体" w:cs="宋体"/>
          <w:kern w:val="0"/>
          <w:sz w:val="24"/>
        </w:rPr>
        <w:t>不涉及财产关系的：</w:t>
      </w:r>
      <w:r>
        <w:rPr>
          <w:rFonts w:ascii="宋体" w:hAnsi="宋体" w:cs="宋体"/>
          <w:kern w:val="0"/>
          <w:sz w:val="24"/>
        </w:rPr>
        <w:t>3000</w:t>
      </w:r>
      <w:r>
        <w:rPr>
          <w:rFonts w:hint="eastAsia" w:ascii="宋体" w:hAnsi="宋体" w:cs="宋体"/>
          <w:kern w:val="0"/>
          <w:sz w:val="24"/>
        </w:rPr>
        <w:t>元～30000元/件；</w:t>
      </w:r>
    </w:p>
    <w:p>
      <w:pPr>
        <w:widowControl/>
        <w:numPr>
          <w:ilvl w:val="0"/>
          <w:numId w:val="5"/>
        </w:numPr>
        <w:shd w:val="clear" w:color="auto" w:fill="FFFFFF"/>
        <w:spacing w:line="460" w:lineRule="exact"/>
        <w:ind w:left="-2" w:leftChars="-1" w:firstLine="424" w:firstLineChars="177"/>
        <w:jc w:val="left"/>
        <w:rPr>
          <w:rFonts w:ascii="宋体" w:hAnsi="宋体" w:cs="宋体"/>
          <w:kern w:val="0"/>
          <w:sz w:val="24"/>
        </w:rPr>
      </w:pPr>
      <w:r>
        <w:rPr>
          <w:rFonts w:hint="eastAsia" w:ascii="宋体" w:hAnsi="宋体" w:cs="宋体"/>
          <w:kern w:val="0"/>
          <w:sz w:val="24"/>
        </w:rPr>
        <w:t>涉及财产关系的：可以按照前述本条第（一）项代理涉及财产关系的民事诉讼案件的收费标准执行。</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（三）代理非公民请求国家赔偿案件第一审程序的收费标准如下：</w:t>
      </w:r>
    </w:p>
    <w:p>
      <w:pPr>
        <w:widowControl/>
        <w:numPr>
          <w:ilvl w:val="0"/>
          <w:numId w:val="5"/>
        </w:numPr>
        <w:shd w:val="clear" w:color="auto" w:fill="FFFFFF"/>
        <w:spacing w:line="460" w:lineRule="exact"/>
        <w:ind w:left="-2" w:leftChars="-1" w:firstLine="424" w:firstLineChars="177"/>
        <w:jc w:val="left"/>
        <w:rPr>
          <w:rFonts w:ascii="宋体" w:hAnsi="宋体" w:cs="宋体"/>
          <w:kern w:val="0"/>
          <w:sz w:val="24"/>
        </w:rPr>
      </w:pPr>
      <w:r>
        <w:rPr>
          <w:rFonts w:hint="eastAsia" w:ascii="宋体" w:hAnsi="宋体" w:cs="宋体"/>
          <w:kern w:val="0"/>
          <w:sz w:val="24"/>
        </w:rPr>
        <w:t>不涉及财产关系的：</w:t>
      </w:r>
      <w:r>
        <w:rPr>
          <w:rFonts w:ascii="宋体" w:hAnsi="宋体" w:cs="宋体"/>
          <w:kern w:val="0"/>
          <w:sz w:val="24"/>
        </w:rPr>
        <w:t>4000</w:t>
      </w:r>
      <w:r>
        <w:rPr>
          <w:rFonts w:hint="eastAsia" w:ascii="宋体" w:hAnsi="宋体" w:cs="宋体"/>
          <w:kern w:val="0"/>
          <w:sz w:val="24"/>
        </w:rPr>
        <w:t>元～</w:t>
      </w:r>
      <w:r>
        <w:rPr>
          <w:rFonts w:ascii="宋体" w:hAnsi="宋体" w:cs="宋体"/>
          <w:kern w:val="0"/>
          <w:sz w:val="24"/>
        </w:rPr>
        <w:t>12000</w:t>
      </w:r>
      <w:r>
        <w:rPr>
          <w:rFonts w:hint="eastAsia" w:ascii="宋体" w:hAnsi="宋体" w:cs="宋体"/>
          <w:kern w:val="0"/>
          <w:sz w:val="24"/>
        </w:rPr>
        <w:t>元/件；</w:t>
      </w:r>
    </w:p>
    <w:p>
      <w:pPr>
        <w:widowControl/>
        <w:numPr>
          <w:ilvl w:val="0"/>
          <w:numId w:val="5"/>
        </w:numPr>
        <w:shd w:val="clear" w:color="auto" w:fill="FFFFFF"/>
        <w:spacing w:line="460" w:lineRule="exact"/>
        <w:ind w:left="-2" w:leftChars="-1" w:firstLine="424" w:firstLineChars="177"/>
        <w:jc w:val="left"/>
        <w:rPr>
          <w:rFonts w:ascii="宋体" w:hAnsi="宋体" w:cs="宋体"/>
          <w:kern w:val="0"/>
          <w:sz w:val="24"/>
        </w:rPr>
      </w:pPr>
      <w:r>
        <w:rPr>
          <w:rFonts w:hint="eastAsia" w:ascii="宋体" w:hAnsi="宋体" w:cs="宋体"/>
          <w:kern w:val="0"/>
          <w:sz w:val="24"/>
        </w:rPr>
        <w:t>涉及财产关系的：可以按照前述本条第（一）项代理涉及财产关系的民事诉讼案件的收费标准减半收费（低于4000元</w:t>
      </w:r>
      <w:r>
        <w:rPr>
          <w:rFonts w:ascii="宋体" w:hAnsi="宋体" w:cs="宋体"/>
          <w:kern w:val="0"/>
          <w:sz w:val="24"/>
        </w:rPr>
        <w:t>的，</w:t>
      </w:r>
      <w:r>
        <w:rPr>
          <w:rFonts w:hint="eastAsia" w:ascii="宋体" w:hAnsi="宋体" w:cs="宋体"/>
          <w:kern w:val="0"/>
          <w:sz w:val="24"/>
        </w:rPr>
        <w:t>可以</w:t>
      </w:r>
      <w:r>
        <w:rPr>
          <w:rFonts w:ascii="宋体" w:hAnsi="宋体" w:cs="宋体"/>
          <w:kern w:val="0"/>
          <w:sz w:val="24"/>
        </w:rPr>
        <w:t>按</w:t>
      </w:r>
      <w:r>
        <w:rPr>
          <w:rFonts w:hint="eastAsia" w:ascii="宋体" w:hAnsi="宋体" w:cs="宋体"/>
          <w:kern w:val="0"/>
          <w:sz w:val="24"/>
        </w:rPr>
        <w:t>4000元</w:t>
      </w:r>
      <w:r>
        <w:rPr>
          <w:rFonts w:ascii="宋体" w:hAnsi="宋体" w:cs="宋体"/>
          <w:kern w:val="0"/>
          <w:sz w:val="24"/>
        </w:rPr>
        <w:t>收取）</w:t>
      </w:r>
      <w:r>
        <w:rPr>
          <w:rFonts w:hint="eastAsia" w:ascii="宋体" w:hAnsi="宋体" w:cs="宋体"/>
          <w:kern w:val="0"/>
          <w:sz w:val="24"/>
        </w:rPr>
        <w:t>。</w:t>
      </w:r>
    </w:p>
    <w:p>
      <w:pPr>
        <w:spacing w:line="460" w:lineRule="exact"/>
        <w:ind w:firstLine="480" w:firstLineChars="200"/>
        <w:rPr>
          <w:rFonts w:ascii="宋体" w:hAnsi="宋体" w:cs="宋体"/>
          <w:kern w:val="0"/>
          <w:sz w:val="24"/>
        </w:rPr>
      </w:pPr>
      <w:r>
        <w:rPr>
          <w:rFonts w:hint="eastAsia" w:ascii="宋体" w:hAnsi="宋体" w:cs="宋体"/>
          <w:kern w:val="0"/>
          <w:sz w:val="24"/>
        </w:rPr>
        <w:t>（四）代理上述（一）、（二）、（三）案件，委托人提出反诉或者对方当事人提出反诉的，反诉按另一案件处理，可以按上述收费标准收费。</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（五）代理上述（一）、（二）、（三）案件的第二审程序、审判监督程序、执行程序等程序的收费标准</w:t>
      </w:r>
    </w:p>
    <w:p>
      <w:pPr>
        <w:widowControl/>
        <w:numPr>
          <w:ilvl w:val="0"/>
          <w:numId w:val="6"/>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第一审程序已代理，第二审程序继续代理的，可以按第一审程序收费标准收费，也可以酌情减收（酌减比例不宜超过50%）。第一审程序未代理，直接代理第二审程序的，可以按第一审程序收费标准收费。</w:t>
      </w:r>
    </w:p>
    <w:p>
      <w:pPr>
        <w:widowControl/>
        <w:numPr>
          <w:ilvl w:val="0"/>
          <w:numId w:val="6"/>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代理发回重审的案件（第一审程序），之前第二审程序已代理的，可以按第一审程序收费标准收费，也可以酌情减收（酌减比例不宜超过50%）。之前未代理的，可以按第一审程序收费标准收费。</w:t>
      </w:r>
    </w:p>
    <w:p>
      <w:pPr>
        <w:widowControl/>
        <w:numPr>
          <w:ilvl w:val="0"/>
          <w:numId w:val="6"/>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代理再审，如之前程序已代理，可以按第一审程序收费标准收费，也可以酌情减收（酌减比例不宜超过50%）。直接代理再审程序的，可以按第一审程序收费标准收费。</w:t>
      </w:r>
    </w:p>
    <w:p>
      <w:pPr>
        <w:widowControl/>
        <w:numPr>
          <w:ilvl w:val="0"/>
          <w:numId w:val="6"/>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代理执行的，可以按第一审程序收费标准收费，也可以按高于或者低于第一审程序收费标准收费。</w:t>
      </w:r>
    </w:p>
    <w:p>
      <w:pPr>
        <w:widowControl/>
        <w:shd w:val="clear" w:color="auto" w:fill="FFFFFF"/>
        <w:spacing w:line="460" w:lineRule="exact"/>
        <w:ind w:firstLine="360" w:firstLineChars="150"/>
        <w:jc w:val="left"/>
        <w:rPr>
          <w:rFonts w:ascii="宋体" w:hAnsi="宋体" w:cs="宋体"/>
          <w:kern w:val="0"/>
          <w:sz w:val="24"/>
        </w:rPr>
      </w:pPr>
      <w:r>
        <w:rPr>
          <w:rFonts w:hint="eastAsia" w:ascii="宋体" w:hAnsi="宋体" w:cs="宋体"/>
          <w:kern w:val="0"/>
          <w:sz w:val="24"/>
        </w:rPr>
        <w:t>（六）代理各类诉讼案件的申诉</w:t>
      </w:r>
    </w:p>
    <w:p>
      <w:pPr>
        <w:widowControl/>
        <w:numPr>
          <w:ilvl w:val="0"/>
          <w:numId w:val="7"/>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不涉及财产关系的：4000元～</w:t>
      </w:r>
      <w:r>
        <w:rPr>
          <w:rFonts w:ascii="宋体" w:hAnsi="宋体" w:cs="宋体"/>
          <w:kern w:val="0"/>
          <w:sz w:val="24"/>
        </w:rPr>
        <w:t>12000</w:t>
      </w:r>
      <w:r>
        <w:rPr>
          <w:rFonts w:hint="eastAsia" w:ascii="宋体" w:hAnsi="宋体" w:cs="宋体"/>
          <w:kern w:val="0"/>
          <w:sz w:val="24"/>
        </w:rPr>
        <w:t>元/件；</w:t>
      </w:r>
    </w:p>
    <w:p>
      <w:pPr>
        <w:widowControl/>
        <w:numPr>
          <w:ilvl w:val="0"/>
          <w:numId w:val="7"/>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涉及财产关系的：可以按照前述本条第（一）项代理涉及财产关系的民事诉讼案件的收费标准执行。</w:t>
      </w:r>
    </w:p>
    <w:p>
      <w:pPr>
        <w:widowControl/>
        <w:shd w:val="clear" w:color="auto" w:fill="FFFFFF"/>
        <w:spacing w:line="460" w:lineRule="exact"/>
        <w:ind w:firstLine="360" w:firstLineChars="150"/>
        <w:jc w:val="left"/>
        <w:rPr>
          <w:rFonts w:ascii="宋体" w:hAnsi="宋体" w:cs="宋体"/>
          <w:kern w:val="0"/>
          <w:sz w:val="24"/>
        </w:rPr>
      </w:pPr>
      <w:r>
        <w:rPr>
          <w:rFonts w:hint="eastAsia" w:ascii="宋体" w:hAnsi="宋体" w:cs="宋体"/>
          <w:kern w:val="0"/>
          <w:sz w:val="24"/>
        </w:rPr>
        <w:t>（七）本条（一）至（六）款未提及的诉讼法律事务，律师事务所与委托人可根据本指导意见第【七】条以及本条的规定友好协商确定收费标准或者收费金额。</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代理重大、疑难、复杂诉讼法律事务，收费可适当高于前述标准，律师事务所可在不超过前述收费标准上限5倍的范围内与委托人协商确定收费。</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重大、疑难、复杂诉讼法律事务是指具有下列情形之一的诉讼法律事务：</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由中级以上（含中级）人民法院管辖的第一审诉讼案件；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符合法院、检察院、公安、司法行政等机关重大、疑难、复杂案件标准的案件；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引起社会普遍关注、具有较大社会影响的案件；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新类型案件；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具有较大社会影响的涉外或涉港澳台案件；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案件涉及疑难专业问题，对律师专业水平要求明显高于同类案件或办案机关决定需要其他专业人士参与的案件；；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案情复杂、涉及三个以上（含三个）法律关系或案件法律关系复杂、律师办案时间明显多于同类案件的案件；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异地（即在律师事务所所在地级市行政区域以外）办理的普通程序案件；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工作量明显较大的案件；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执行程序中案外人提出异议的案件；</w:t>
      </w:r>
    </w:p>
    <w:p>
      <w:pPr>
        <w:widowControl/>
        <w:numPr>
          <w:ilvl w:val="0"/>
          <w:numId w:val="8"/>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其他由律师事务所与委托人协商确定为重大、疑难、复杂的案件。</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律师事务所作为一般诉讼法律事务接受委托，开展具体代理工作后发现属于重大、疑难、复杂诉讼法律事务的，可以在办理过程中及时与委托人协商，按重大、疑难、复杂诉讼法律事务收费，变更收费条款。</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律师服务收费合同或者委托代理合同签订后，委托人与律师事务所双方对诉讼法律事务是否为重大、疑难、复杂诉讼法律事务存有争议且不能协商解决的，可以提请本协会调解处理。</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律师事务所与委托人经协商可以就诉讼法律事务采取计时收费方式。</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风险代理收费是指律师事务所根据法律事务的办理结果，从委托人获得的财产利益或其他利益中按照约定的比例或金额计收风险代理律师服务费。</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代理民事诉讼案件时，委托人在被告知存在其他收费方式的情况下仍要求实行风险代理收费的，律师事务所可以实行风险代理收费。但下列情形不得实行风险代理收费：</w:t>
      </w:r>
    </w:p>
    <w:p>
      <w:pPr>
        <w:widowControl/>
        <w:numPr>
          <w:ilvl w:val="0"/>
          <w:numId w:val="9"/>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婚姻、继承案件；</w:t>
      </w:r>
    </w:p>
    <w:p>
      <w:pPr>
        <w:widowControl/>
        <w:numPr>
          <w:ilvl w:val="0"/>
          <w:numId w:val="9"/>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请求给予社会保险待遇或者最低生活保障待遇的；</w:t>
      </w:r>
    </w:p>
    <w:p>
      <w:pPr>
        <w:widowControl/>
        <w:numPr>
          <w:ilvl w:val="0"/>
          <w:numId w:val="9"/>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请求给付赡养费、抚养费、扶养费、抚恤金、救济金、工伤赔偿的；</w:t>
      </w:r>
    </w:p>
    <w:p>
      <w:pPr>
        <w:widowControl/>
        <w:numPr>
          <w:ilvl w:val="0"/>
          <w:numId w:val="9"/>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请求支付劳动报酬的；</w:t>
      </w:r>
    </w:p>
    <w:p>
      <w:pPr>
        <w:widowControl/>
        <w:numPr>
          <w:ilvl w:val="0"/>
          <w:numId w:val="9"/>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刑事诉讼案件、行政诉讼案件、国家赔偿案件以及群体性诉讼案件。</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事务所与委托人经协商，可以约定收取基础律师服务费加风险代理律师服务费，也可以约定仅收取风险代理律师服务费。委托人是否获得财产利益或者其他利益，不影响基础律师服务费的收取，委托人未获得财产利益或其他利益的，无须向律师事务所支付风险代理律师服务费。</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除基础律师服务费外，</w:t>
      </w:r>
      <w:r>
        <w:rPr>
          <w:rFonts w:hint="eastAsia" w:ascii="宋体" w:hAnsi="宋体" w:cs="宋体"/>
          <w:bCs/>
          <w:kern w:val="0"/>
          <w:sz w:val="24"/>
        </w:rPr>
        <w:t>约定的风险代理律师服务费的计费比例建议一般不高于委托人获得的财产利益或其他利益的50%。</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代理由仲裁委员会受理的仲裁案件（视为诉讼法律事务），参照代理本指导意见第【十一】条规定的实行市场调节价的民事诉讼案件的第一审程序收费标准收费，可以约定适当高于第一审程序收费标准的收费数额。</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代理由仲裁委员会受理的仲裁案件，可以实行风险代理收费，参照本指导意见第【十四】条执行。</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重大、疑难、复杂仲裁案件的认定及收费，参照本指导意见第【十二】条执行。</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代理申请执行仲裁裁决案件，参照代理代理本指导意见第【十一】条规定的实行市场调节价的民事诉讼案件执行程序的收费标准收费。</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代理申请撤销仲裁裁决或者代理申请不予执行仲裁裁决，可按本条第一款的收费标准执行。</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代理由劳动争议仲裁委员会受理的劳动争议仲裁案件（视为诉讼法律事务），可以参照代理本指导意见第【十一】条规定的实行市场调节价的民事诉讼案件的第一审程序收费标准收费。</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非诉讼法律事务是指诉讼、仲裁、劳动争议仲裁法律事务之外的其他法律服务，包括但不限于投资、并购、重组、改制、破产、解散、清算、融资、上市、移民、资产监管、常年法律顾问、专项法律顾问、法律论证、法律培训、主持调解、律师见证、出具律师函、出具法律意见书、资信调查、起草审查修改合同或其他文件、代书、代办公证、代为声明、代办其他非诉讼法律事务等。</w:t>
      </w:r>
    </w:p>
    <w:p>
      <w:pPr>
        <w:widowControl/>
        <w:shd w:val="clear" w:color="auto" w:fill="FFFFFF"/>
        <w:spacing w:line="460" w:lineRule="exact"/>
        <w:ind w:firstLine="480" w:firstLineChars="200"/>
        <w:jc w:val="left"/>
        <w:rPr>
          <w:rFonts w:ascii="宋体" w:hAnsi="宋体" w:cs="宋体"/>
          <w:kern w:val="0"/>
          <w:sz w:val="24"/>
        </w:rPr>
      </w:pPr>
      <w:r>
        <w:rPr>
          <w:rFonts w:hint="eastAsia" w:ascii="宋体" w:hAnsi="宋体" w:cs="宋体"/>
          <w:kern w:val="0"/>
          <w:sz w:val="24"/>
        </w:rPr>
        <w:t>非诉讼法律事务可以采取计时收费、计件收费、按标的额比例收费以及律师事务所与委托人约定的其他收费方式。律师事务所与委托人协商确定的收费方式，应在律师服务收费合同或者委托代理合同或者法律顾问合同等合同中明确约定。</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涉及财产关系和不涉及财产关系的非诉讼法律事务均可以采取计时收费方式。</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不涉及财产关系的非诉讼法律事务可以采取计件收费方式。律师事务所可以按照2</w:t>
      </w:r>
      <w:r>
        <w:rPr>
          <w:rFonts w:ascii="宋体" w:hAnsi="宋体" w:cs="宋体"/>
          <w:kern w:val="0"/>
          <w:sz w:val="24"/>
        </w:rPr>
        <w:t>000</w:t>
      </w:r>
      <w:r>
        <w:rPr>
          <w:rFonts w:hint="eastAsia" w:ascii="宋体" w:hAnsi="宋体" w:cs="宋体"/>
          <w:kern w:val="0"/>
          <w:sz w:val="24"/>
        </w:rPr>
        <w:t>元～50000元/件的标准收费</w:t>
      </w:r>
      <w:r>
        <w:rPr>
          <w:rFonts w:ascii="宋体" w:hAnsi="宋体" w:cs="宋体"/>
          <w:kern w:val="0"/>
          <w:sz w:val="24"/>
        </w:rPr>
        <w:t>。</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涉及财产关系的非诉讼法律事务可以采取按标的额比例收费方式，律师事务所可以参照代理本指导意见第【十一】条规定的实行市场调节价的</w:t>
      </w:r>
      <w:r>
        <w:rPr>
          <w:rFonts w:ascii="宋体" w:hAnsi="宋体" w:cs="宋体"/>
          <w:kern w:val="0"/>
          <w:sz w:val="24"/>
        </w:rPr>
        <w:t>涉及财产关系的</w:t>
      </w:r>
      <w:r>
        <w:rPr>
          <w:rFonts w:hint="eastAsia" w:ascii="宋体" w:hAnsi="宋体" w:cs="宋体"/>
          <w:kern w:val="0"/>
          <w:sz w:val="24"/>
        </w:rPr>
        <w:t>民事</w:t>
      </w:r>
      <w:r>
        <w:rPr>
          <w:rFonts w:ascii="宋体" w:hAnsi="宋体" w:cs="宋体"/>
          <w:kern w:val="0"/>
          <w:sz w:val="24"/>
        </w:rPr>
        <w:t>诉讼案件</w:t>
      </w:r>
      <w:r>
        <w:rPr>
          <w:rFonts w:hint="eastAsia" w:ascii="宋体" w:hAnsi="宋体" w:cs="宋体"/>
          <w:kern w:val="0"/>
          <w:sz w:val="24"/>
        </w:rPr>
        <w:t>的</w:t>
      </w:r>
      <w:r>
        <w:rPr>
          <w:rFonts w:ascii="宋体" w:hAnsi="宋体" w:cs="宋体"/>
          <w:kern w:val="0"/>
          <w:sz w:val="24"/>
        </w:rPr>
        <w:t>收费</w:t>
      </w:r>
      <w:r>
        <w:rPr>
          <w:rFonts w:hint="eastAsia" w:ascii="宋体" w:hAnsi="宋体" w:cs="宋体"/>
          <w:kern w:val="0"/>
          <w:sz w:val="24"/>
        </w:rPr>
        <w:t>标准收费，也可以按照以下收费标准收费：</w:t>
      </w:r>
    </w:p>
    <w:p>
      <w:pPr>
        <w:widowControl/>
        <w:shd w:val="clear" w:color="auto" w:fill="FFFFFF"/>
        <w:spacing w:line="460" w:lineRule="exact"/>
        <w:ind w:firstLine="566"/>
        <w:jc w:val="left"/>
        <w:rPr>
          <w:rFonts w:ascii="宋体" w:hAnsi="宋体" w:cs="宋体"/>
          <w:kern w:val="0"/>
          <w:sz w:val="24"/>
        </w:rPr>
      </w:pPr>
      <w:r>
        <w:rPr>
          <w:rFonts w:hint="eastAsia" w:ascii="宋体" w:hAnsi="宋体" w:cs="宋体"/>
          <w:kern w:val="0"/>
          <w:sz w:val="24"/>
        </w:rPr>
        <w:t>按下列比例分段计算律师服务费</w:t>
      </w:r>
    </w:p>
    <w:p>
      <w:pPr>
        <w:widowControl/>
        <w:shd w:val="clear" w:color="auto" w:fill="FFFFFF"/>
        <w:spacing w:line="460" w:lineRule="exact"/>
        <w:ind w:firstLine="566"/>
        <w:jc w:val="left"/>
        <w:rPr>
          <w:rFonts w:ascii="宋体" w:hAnsi="宋体" w:cs="宋体"/>
          <w:kern w:val="0"/>
          <w:sz w:val="24"/>
        </w:rPr>
      </w:pPr>
      <w:r>
        <w:rPr>
          <w:rFonts w:hint="eastAsia" w:ascii="宋体" w:hAnsi="宋体" w:cs="宋体"/>
          <w:kern w:val="0"/>
          <w:sz w:val="24"/>
        </w:rPr>
        <w:t>1000万元（</w:t>
      </w:r>
      <w:r>
        <w:rPr>
          <w:rFonts w:ascii="宋体" w:hAnsi="宋体" w:cs="宋体"/>
          <w:kern w:val="0"/>
          <w:sz w:val="24"/>
        </w:rPr>
        <w:t>不含</w:t>
      </w:r>
      <w:r>
        <w:rPr>
          <w:rFonts w:hint="eastAsia" w:ascii="宋体" w:hAnsi="宋体" w:cs="宋体"/>
          <w:kern w:val="0"/>
          <w:sz w:val="24"/>
        </w:rPr>
        <w:t>1000万元</w:t>
      </w:r>
      <w:r>
        <w:rPr>
          <w:rFonts w:ascii="宋体" w:hAnsi="宋体" w:cs="宋体"/>
          <w:kern w:val="0"/>
          <w:sz w:val="24"/>
        </w:rPr>
        <w:t>）</w:t>
      </w:r>
      <w:r>
        <w:rPr>
          <w:rFonts w:hint="eastAsia" w:ascii="宋体" w:hAnsi="宋体" w:cs="宋体"/>
          <w:kern w:val="0"/>
          <w:sz w:val="24"/>
        </w:rPr>
        <w:t xml:space="preserve">以下的部分                    </w:t>
      </w:r>
      <w:r>
        <w:rPr>
          <w:rFonts w:ascii="宋体" w:hAnsi="宋体" w:cs="宋体"/>
          <w:kern w:val="0"/>
          <w:sz w:val="24"/>
        </w:rPr>
        <w:t>0.5</w:t>
      </w:r>
      <w:r>
        <w:rPr>
          <w:rFonts w:hint="eastAsia" w:ascii="宋体" w:hAnsi="宋体" w:cs="宋体"/>
          <w:kern w:val="0"/>
          <w:sz w:val="24"/>
        </w:rPr>
        <w:t>%～5%</w:t>
      </w:r>
    </w:p>
    <w:p>
      <w:pPr>
        <w:widowControl/>
        <w:shd w:val="clear" w:color="auto" w:fill="FFFFFF"/>
        <w:spacing w:line="460" w:lineRule="exact"/>
        <w:ind w:firstLine="566"/>
        <w:jc w:val="left"/>
        <w:rPr>
          <w:rFonts w:ascii="宋体" w:hAnsi="宋体" w:cs="宋体"/>
          <w:kern w:val="0"/>
          <w:sz w:val="24"/>
        </w:rPr>
      </w:pPr>
      <w:r>
        <w:rPr>
          <w:rFonts w:hint="eastAsia" w:ascii="宋体" w:hAnsi="宋体" w:cs="宋体"/>
          <w:kern w:val="0"/>
          <w:sz w:val="24"/>
        </w:rPr>
        <w:t>1000万元—</w:t>
      </w:r>
      <w:r>
        <w:rPr>
          <w:rFonts w:ascii="宋体" w:hAnsi="宋体" w:cs="宋体"/>
          <w:kern w:val="0"/>
          <w:sz w:val="24"/>
        </w:rPr>
        <w:t>5000</w:t>
      </w:r>
      <w:r>
        <w:rPr>
          <w:rFonts w:hint="eastAsia" w:ascii="宋体" w:hAnsi="宋体" w:cs="宋体"/>
          <w:kern w:val="0"/>
          <w:sz w:val="24"/>
        </w:rPr>
        <w:t>万元（不</w:t>
      </w:r>
      <w:r>
        <w:rPr>
          <w:rFonts w:ascii="宋体" w:hAnsi="宋体" w:cs="宋体"/>
          <w:kern w:val="0"/>
          <w:sz w:val="24"/>
        </w:rPr>
        <w:t>含5000</w:t>
      </w:r>
      <w:r>
        <w:rPr>
          <w:rFonts w:hint="eastAsia" w:ascii="宋体" w:hAnsi="宋体" w:cs="宋体"/>
          <w:kern w:val="0"/>
          <w:sz w:val="24"/>
        </w:rPr>
        <w:t>万元</w:t>
      </w:r>
      <w:r>
        <w:rPr>
          <w:rFonts w:ascii="宋体" w:hAnsi="宋体" w:cs="宋体"/>
          <w:kern w:val="0"/>
          <w:sz w:val="24"/>
        </w:rPr>
        <w:t>）</w:t>
      </w:r>
      <w:r>
        <w:rPr>
          <w:rFonts w:hint="eastAsia" w:ascii="宋体" w:hAnsi="宋体" w:cs="宋体"/>
          <w:kern w:val="0"/>
          <w:sz w:val="24"/>
        </w:rPr>
        <w:t xml:space="preserve">部分         </w:t>
      </w:r>
      <w:r>
        <w:rPr>
          <w:rFonts w:ascii="宋体" w:hAnsi="宋体" w:cs="宋体"/>
          <w:kern w:val="0"/>
          <w:sz w:val="24"/>
        </w:rPr>
        <w:t xml:space="preserve">       </w:t>
      </w:r>
      <w:r>
        <w:rPr>
          <w:rFonts w:hint="eastAsia" w:ascii="宋体" w:hAnsi="宋体" w:cs="宋体"/>
          <w:kern w:val="0"/>
          <w:sz w:val="24"/>
        </w:rPr>
        <w:t>0.</w:t>
      </w:r>
      <w:r>
        <w:rPr>
          <w:rFonts w:ascii="宋体" w:hAnsi="宋体" w:cs="宋体"/>
          <w:kern w:val="0"/>
          <w:sz w:val="24"/>
        </w:rPr>
        <w:t>3</w:t>
      </w:r>
      <w:r>
        <w:rPr>
          <w:rFonts w:hint="eastAsia" w:ascii="宋体" w:hAnsi="宋体" w:cs="宋体"/>
          <w:kern w:val="0"/>
          <w:sz w:val="24"/>
        </w:rPr>
        <w:t>%～3%</w:t>
      </w:r>
    </w:p>
    <w:p>
      <w:pPr>
        <w:widowControl/>
        <w:shd w:val="clear" w:color="auto" w:fill="FFFFFF"/>
        <w:spacing w:line="460" w:lineRule="exact"/>
        <w:ind w:firstLine="566"/>
        <w:jc w:val="left"/>
        <w:rPr>
          <w:rFonts w:ascii="宋体" w:hAnsi="宋体" w:cs="宋体"/>
          <w:kern w:val="0"/>
          <w:sz w:val="24"/>
        </w:rPr>
      </w:pPr>
      <w:r>
        <w:rPr>
          <w:rFonts w:ascii="宋体" w:hAnsi="宋体" w:cs="宋体"/>
          <w:kern w:val="0"/>
          <w:sz w:val="24"/>
        </w:rPr>
        <w:t>5000</w:t>
      </w:r>
      <w:r>
        <w:rPr>
          <w:rFonts w:hint="eastAsia" w:ascii="宋体" w:hAnsi="宋体" w:cs="宋体"/>
          <w:kern w:val="0"/>
          <w:sz w:val="24"/>
        </w:rPr>
        <w:t>万元—1亿元（不</w:t>
      </w:r>
      <w:r>
        <w:rPr>
          <w:rFonts w:ascii="宋体" w:hAnsi="宋体" w:cs="宋体"/>
          <w:kern w:val="0"/>
          <w:sz w:val="24"/>
        </w:rPr>
        <w:t>含1</w:t>
      </w:r>
      <w:r>
        <w:rPr>
          <w:rFonts w:hint="eastAsia" w:ascii="宋体" w:hAnsi="宋体" w:cs="宋体"/>
          <w:kern w:val="0"/>
          <w:sz w:val="24"/>
        </w:rPr>
        <w:t>亿元</w:t>
      </w:r>
      <w:r>
        <w:rPr>
          <w:rFonts w:ascii="宋体" w:hAnsi="宋体" w:cs="宋体"/>
          <w:kern w:val="0"/>
          <w:sz w:val="24"/>
        </w:rPr>
        <w:t>）</w:t>
      </w:r>
      <w:r>
        <w:rPr>
          <w:rFonts w:hint="eastAsia" w:ascii="宋体" w:hAnsi="宋体" w:cs="宋体"/>
          <w:kern w:val="0"/>
          <w:sz w:val="24"/>
        </w:rPr>
        <w:t xml:space="preserve">部分           </w:t>
      </w:r>
      <w:r>
        <w:rPr>
          <w:rFonts w:ascii="宋体" w:hAnsi="宋体" w:cs="宋体"/>
          <w:kern w:val="0"/>
          <w:sz w:val="24"/>
        </w:rPr>
        <w:t xml:space="preserve">           </w:t>
      </w:r>
      <w:r>
        <w:rPr>
          <w:rFonts w:hint="eastAsia" w:ascii="宋体" w:hAnsi="宋体" w:cs="宋体"/>
          <w:kern w:val="0"/>
          <w:sz w:val="24"/>
        </w:rPr>
        <w:t>0.2%～</w:t>
      </w:r>
      <w:r>
        <w:rPr>
          <w:rFonts w:ascii="宋体" w:hAnsi="宋体" w:cs="宋体"/>
          <w:kern w:val="0"/>
          <w:sz w:val="24"/>
        </w:rPr>
        <w:t>2</w:t>
      </w:r>
      <w:r>
        <w:rPr>
          <w:rFonts w:hint="eastAsia" w:ascii="宋体" w:hAnsi="宋体" w:cs="宋体"/>
          <w:kern w:val="0"/>
          <w:sz w:val="24"/>
        </w:rPr>
        <w:t>%</w:t>
      </w:r>
    </w:p>
    <w:p>
      <w:pPr>
        <w:widowControl/>
        <w:shd w:val="clear" w:color="auto" w:fill="FFFFFF"/>
        <w:spacing w:line="460" w:lineRule="exact"/>
        <w:ind w:firstLine="566"/>
        <w:jc w:val="left"/>
        <w:rPr>
          <w:rFonts w:ascii="宋体" w:hAnsi="宋体" w:cs="宋体"/>
          <w:kern w:val="0"/>
          <w:sz w:val="24"/>
        </w:rPr>
      </w:pPr>
      <w:r>
        <w:rPr>
          <w:rFonts w:hint="eastAsia" w:ascii="宋体" w:hAnsi="宋体" w:cs="宋体"/>
          <w:kern w:val="0"/>
          <w:sz w:val="24"/>
        </w:rPr>
        <w:t>1亿元—</w:t>
      </w:r>
      <w:r>
        <w:rPr>
          <w:rFonts w:ascii="宋体" w:hAnsi="宋体" w:cs="宋体"/>
          <w:kern w:val="0"/>
          <w:sz w:val="24"/>
        </w:rPr>
        <w:t>5</w:t>
      </w:r>
      <w:r>
        <w:rPr>
          <w:rFonts w:hint="eastAsia" w:ascii="宋体" w:hAnsi="宋体" w:cs="宋体"/>
          <w:kern w:val="0"/>
          <w:sz w:val="24"/>
        </w:rPr>
        <w:t>亿元（不</w:t>
      </w:r>
      <w:r>
        <w:rPr>
          <w:rFonts w:ascii="宋体" w:hAnsi="宋体" w:cs="宋体"/>
          <w:kern w:val="0"/>
          <w:sz w:val="24"/>
        </w:rPr>
        <w:t>含5</w:t>
      </w:r>
      <w:r>
        <w:rPr>
          <w:rFonts w:hint="eastAsia" w:ascii="宋体" w:hAnsi="宋体" w:cs="宋体"/>
          <w:kern w:val="0"/>
          <w:sz w:val="24"/>
        </w:rPr>
        <w:t>亿元</w:t>
      </w:r>
      <w:r>
        <w:rPr>
          <w:rFonts w:ascii="宋体" w:hAnsi="宋体" w:cs="宋体"/>
          <w:kern w:val="0"/>
          <w:sz w:val="24"/>
        </w:rPr>
        <w:t>）</w:t>
      </w:r>
      <w:r>
        <w:rPr>
          <w:rFonts w:hint="eastAsia" w:ascii="宋体" w:hAnsi="宋体" w:cs="宋体"/>
          <w:kern w:val="0"/>
          <w:sz w:val="24"/>
        </w:rPr>
        <w:t xml:space="preserve">部分         </w:t>
      </w:r>
      <w:r>
        <w:rPr>
          <w:rFonts w:ascii="宋体" w:hAnsi="宋体" w:cs="宋体"/>
          <w:kern w:val="0"/>
          <w:sz w:val="24"/>
        </w:rPr>
        <w:t xml:space="preserve">                </w:t>
      </w:r>
      <w:r>
        <w:rPr>
          <w:rFonts w:hint="eastAsia" w:ascii="宋体" w:hAnsi="宋体" w:cs="宋体"/>
          <w:kern w:val="0"/>
          <w:sz w:val="24"/>
        </w:rPr>
        <w:t>0.</w:t>
      </w:r>
      <w:r>
        <w:rPr>
          <w:rFonts w:ascii="宋体" w:hAnsi="宋体" w:cs="宋体"/>
          <w:kern w:val="0"/>
          <w:sz w:val="24"/>
        </w:rPr>
        <w:t>1</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w:t>
      </w:r>
    </w:p>
    <w:p>
      <w:pPr>
        <w:widowControl/>
        <w:shd w:val="clear" w:color="auto" w:fill="FFFFFF"/>
        <w:spacing w:line="460" w:lineRule="exact"/>
        <w:ind w:firstLine="566"/>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亿元以上部分                        </w:t>
      </w:r>
      <w:r>
        <w:rPr>
          <w:rFonts w:ascii="宋体" w:hAnsi="宋体" w:cs="宋体"/>
          <w:kern w:val="0"/>
          <w:sz w:val="24"/>
        </w:rPr>
        <w:t xml:space="preserve">                </w:t>
      </w:r>
      <w:r>
        <w:rPr>
          <w:rFonts w:hint="eastAsia" w:ascii="宋体" w:hAnsi="宋体" w:cs="宋体"/>
          <w:kern w:val="0"/>
          <w:sz w:val="24"/>
        </w:rPr>
        <w:t>0.05%～</w:t>
      </w:r>
      <w:r>
        <w:rPr>
          <w:rFonts w:ascii="宋体" w:hAnsi="宋体" w:cs="宋体"/>
          <w:kern w:val="0"/>
          <w:sz w:val="24"/>
        </w:rPr>
        <w:t>0.5</w:t>
      </w:r>
      <w:r>
        <w:rPr>
          <w:rFonts w:hint="eastAsia" w:ascii="宋体" w:hAnsi="宋体" w:cs="宋体"/>
          <w:kern w:val="0"/>
          <w:sz w:val="24"/>
        </w:rPr>
        <w:t>%</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律师事务所与委托人还可以</w:t>
      </w:r>
      <w:r>
        <w:rPr>
          <w:rFonts w:hint="eastAsia" w:ascii="宋体" w:hAnsi="宋体" w:cs="宋体"/>
          <w:bCs/>
          <w:kern w:val="0"/>
          <w:sz w:val="24"/>
        </w:rPr>
        <w:t>约定按固定金额收费</w:t>
      </w:r>
      <w:r>
        <w:rPr>
          <w:rFonts w:hint="eastAsia" w:ascii="宋体" w:hAnsi="宋体" w:cs="宋体"/>
          <w:kern w:val="0"/>
          <w:sz w:val="24"/>
        </w:rPr>
        <w:t>。</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律师事务所可受聘担任委托人的常年法律顾问、专项法律顾问和临时法律顾问。</w:t>
      </w:r>
    </w:p>
    <w:p>
      <w:pPr>
        <w:widowControl/>
        <w:spacing w:line="460" w:lineRule="exact"/>
        <w:ind w:firstLine="540" w:firstLineChars="225"/>
        <w:jc w:val="left"/>
        <w:rPr>
          <w:rFonts w:ascii="宋体" w:hAnsi="宋体" w:cs="宋体"/>
          <w:kern w:val="0"/>
          <w:sz w:val="24"/>
        </w:rPr>
      </w:pPr>
      <w:r>
        <w:rPr>
          <w:rFonts w:ascii="宋体" w:hAnsi="宋体" w:cs="宋体"/>
          <w:kern w:val="0"/>
          <w:sz w:val="24"/>
        </w:rPr>
        <w:t>律师事务所</w:t>
      </w:r>
      <w:r>
        <w:rPr>
          <w:rFonts w:hint="eastAsia" w:ascii="宋体" w:hAnsi="宋体" w:cs="宋体"/>
          <w:kern w:val="0"/>
          <w:sz w:val="24"/>
        </w:rPr>
        <w:t>受聘担任法律顾问，应当与聘请人签订法律顾问合同。法律顾问合同中应当明确约定法律顾问的服务内容、法律顾问费的收费标准、费用支付方式、支付时间等内容。非完全采取计时收费方式的，还应明确约定法律顾问费对应的服务内容以及需要另行收费的服务内容。</w:t>
      </w:r>
    </w:p>
    <w:p>
      <w:pPr>
        <w:widowControl/>
        <w:spacing w:line="460" w:lineRule="exact"/>
        <w:ind w:firstLine="420"/>
        <w:jc w:val="left"/>
        <w:rPr>
          <w:rFonts w:ascii="宋体" w:hAnsi="宋体" w:cs="宋体"/>
          <w:kern w:val="0"/>
          <w:sz w:val="24"/>
        </w:rPr>
      </w:pPr>
      <w:r>
        <w:rPr>
          <w:rFonts w:hint="eastAsia" w:ascii="宋体" w:hAnsi="宋体" w:cs="宋体"/>
          <w:kern w:val="0"/>
          <w:sz w:val="24"/>
        </w:rPr>
        <w:t>法律顾问费可以采取固定法律顾问费方式、计时收费方式、基础法律顾问费和计时收费相结合方式或者其他收费方式。</w:t>
      </w:r>
    </w:p>
    <w:p>
      <w:pPr>
        <w:widowControl/>
        <w:spacing w:line="460" w:lineRule="exact"/>
        <w:ind w:firstLine="420"/>
        <w:jc w:val="left"/>
        <w:rPr>
          <w:rFonts w:ascii="宋体" w:hAnsi="宋体" w:cs="宋体"/>
          <w:kern w:val="0"/>
          <w:sz w:val="24"/>
          <w:highlight w:val="yellow"/>
        </w:rPr>
      </w:pPr>
      <w:r>
        <w:rPr>
          <w:rFonts w:hint="eastAsia" w:ascii="宋体" w:hAnsi="宋体" w:cs="宋体"/>
          <w:kern w:val="0"/>
          <w:sz w:val="24"/>
        </w:rPr>
        <w:t>律师事务所可以</w:t>
      </w:r>
      <w:r>
        <w:rPr>
          <w:rFonts w:ascii="宋体" w:hAnsi="宋体" w:cs="宋体"/>
          <w:kern w:val="0"/>
          <w:sz w:val="24"/>
        </w:rPr>
        <w:t>根据</w:t>
      </w:r>
      <w:r>
        <w:rPr>
          <w:rFonts w:hint="eastAsia" w:ascii="宋体" w:hAnsi="宋体" w:cs="宋体"/>
          <w:kern w:val="0"/>
          <w:sz w:val="24"/>
        </w:rPr>
        <w:t>聘请人的注册资本数额、经营规模、年度</w:t>
      </w:r>
      <w:r>
        <w:rPr>
          <w:rFonts w:ascii="宋体" w:hAnsi="宋体" w:cs="宋体"/>
          <w:kern w:val="0"/>
          <w:sz w:val="24"/>
        </w:rPr>
        <w:t>法律事务的</w:t>
      </w:r>
      <w:r>
        <w:rPr>
          <w:rFonts w:hint="eastAsia" w:ascii="宋体" w:hAnsi="宋体" w:cs="宋体"/>
          <w:kern w:val="0"/>
          <w:sz w:val="24"/>
        </w:rPr>
        <w:t>多寡、</w:t>
      </w:r>
      <w:r>
        <w:rPr>
          <w:rFonts w:ascii="宋体" w:hAnsi="宋体" w:cs="宋体"/>
          <w:kern w:val="0"/>
          <w:sz w:val="24"/>
        </w:rPr>
        <w:t>难易</w:t>
      </w:r>
      <w:r>
        <w:rPr>
          <w:rFonts w:hint="eastAsia" w:ascii="宋体" w:hAnsi="宋体" w:cs="宋体"/>
          <w:kern w:val="0"/>
          <w:sz w:val="24"/>
        </w:rPr>
        <w:t>程度、顾问律师的水平和能力</w:t>
      </w:r>
      <w:r>
        <w:rPr>
          <w:rFonts w:ascii="宋体" w:hAnsi="宋体" w:cs="宋体"/>
          <w:kern w:val="0"/>
          <w:sz w:val="24"/>
        </w:rPr>
        <w:t>等</w:t>
      </w:r>
      <w:r>
        <w:rPr>
          <w:rFonts w:hint="eastAsia" w:ascii="宋体" w:hAnsi="宋体" w:cs="宋体"/>
          <w:kern w:val="0"/>
          <w:sz w:val="24"/>
        </w:rPr>
        <w:t>因素，与委托人协商确定年度固定法律顾问费数额。年度固定法律顾问费数额</w:t>
      </w:r>
      <w:r>
        <w:rPr>
          <w:rFonts w:ascii="宋体" w:hAnsi="宋体" w:cs="宋体"/>
          <w:kern w:val="0"/>
          <w:sz w:val="24"/>
        </w:rPr>
        <w:t>可以在</w:t>
      </w:r>
      <w:r>
        <w:rPr>
          <w:rFonts w:hint="eastAsia" w:ascii="宋体" w:hAnsi="宋体" w:cs="宋体"/>
          <w:kern w:val="0"/>
          <w:sz w:val="24"/>
        </w:rPr>
        <w:t>人民币2</w:t>
      </w:r>
      <w:r>
        <w:rPr>
          <w:rFonts w:ascii="宋体" w:hAnsi="宋体" w:cs="宋体"/>
          <w:kern w:val="0"/>
          <w:sz w:val="24"/>
        </w:rPr>
        <w:t>万</w:t>
      </w:r>
      <w:r>
        <w:rPr>
          <w:rFonts w:hint="eastAsia" w:ascii="宋体" w:hAnsi="宋体" w:cs="宋体"/>
          <w:kern w:val="0"/>
          <w:sz w:val="24"/>
        </w:rPr>
        <w:t>元</w:t>
      </w:r>
      <w:r>
        <w:rPr>
          <w:rFonts w:ascii="宋体" w:hAnsi="宋体" w:cs="宋体"/>
          <w:kern w:val="0"/>
          <w:sz w:val="24"/>
        </w:rPr>
        <w:t>至</w:t>
      </w:r>
      <w:r>
        <w:rPr>
          <w:rFonts w:hint="eastAsia" w:ascii="宋体" w:hAnsi="宋体" w:cs="宋体"/>
          <w:kern w:val="0"/>
          <w:sz w:val="24"/>
        </w:rPr>
        <w:t>60</w:t>
      </w:r>
      <w:r>
        <w:rPr>
          <w:rFonts w:ascii="宋体" w:hAnsi="宋体" w:cs="宋体"/>
          <w:kern w:val="0"/>
          <w:sz w:val="24"/>
        </w:rPr>
        <w:t>万</w:t>
      </w:r>
      <w:r>
        <w:rPr>
          <w:rFonts w:hint="eastAsia" w:ascii="宋体" w:hAnsi="宋体" w:cs="宋体"/>
          <w:kern w:val="0"/>
          <w:sz w:val="24"/>
        </w:rPr>
        <w:t>元</w:t>
      </w:r>
      <w:r>
        <w:rPr>
          <w:rFonts w:ascii="宋体" w:hAnsi="宋体" w:cs="宋体"/>
          <w:kern w:val="0"/>
          <w:sz w:val="24"/>
        </w:rPr>
        <w:t>内</w:t>
      </w:r>
      <w:r>
        <w:rPr>
          <w:rFonts w:hint="eastAsia" w:ascii="宋体" w:hAnsi="宋体" w:cs="宋体"/>
          <w:kern w:val="0"/>
          <w:sz w:val="24"/>
        </w:rPr>
        <w:t>协商确定，也可以按照以下标准确定：</w:t>
      </w:r>
    </w:p>
    <w:p>
      <w:pPr>
        <w:widowControl/>
        <w:numPr>
          <w:ilvl w:val="0"/>
          <w:numId w:val="10"/>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 xml:space="preserve"> 担任党政机关、事业单位、社会团体常年法律顾问：30000元-200000元/年，上浮不限；</w:t>
      </w:r>
    </w:p>
    <w:p>
      <w:pPr>
        <w:widowControl/>
        <w:numPr>
          <w:ilvl w:val="0"/>
          <w:numId w:val="10"/>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担任集团企业法律顾问：100000元-600000元/年，上浮不限；</w:t>
      </w:r>
    </w:p>
    <w:p>
      <w:pPr>
        <w:widowControl/>
        <w:numPr>
          <w:ilvl w:val="0"/>
          <w:numId w:val="10"/>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担任普通生产型企业法律顾问：30000元-200000元/年，上浮不限；</w:t>
      </w:r>
    </w:p>
    <w:p>
      <w:pPr>
        <w:widowControl/>
        <w:numPr>
          <w:ilvl w:val="0"/>
          <w:numId w:val="10"/>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担任非生产型或小（微）型企业法律顾问：20000元-100000元/年，上浮不限；</w:t>
      </w:r>
    </w:p>
    <w:p>
      <w:pPr>
        <w:widowControl/>
        <w:numPr>
          <w:ilvl w:val="0"/>
          <w:numId w:val="10"/>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担任家庭及个人法律顾问：10000元-50000元/年，上浮不限。</w:t>
      </w:r>
    </w:p>
    <w:p>
      <w:pPr>
        <w:widowControl/>
        <w:spacing w:line="460" w:lineRule="exact"/>
        <w:ind w:firstLine="480" w:firstLineChars="200"/>
        <w:jc w:val="left"/>
        <w:rPr>
          <w:rFonts w:ascii="宋体" w:hAnsi="宋体" w:cs="宋体"/>
          <w:kern w:val="0"/>
          <w:sz w:val="24"/>
        </w:rPr>
      </w:pPr>
      <w:r>
        <w:rPr>
          <w:rFonts w:hint="eastAsia" w:ascii="宋体" w:hAnsi="宋体" w:cs="宋体"/>
          <w:kern w:val="0"/>
          <w:sz w:val="24"/>
        </w:rPr>
        <w:t>受聘担任专项法律顾问和临时法律顾问的法律顾问费，由律师事务所根据服务内容，与委托人协商确定。</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各律师事务所及其律师应当严格遵守《中华人民共和国律师法》、《中华人民共和国价格法》、《中华人民共和国反不正当竞争法》、《中华人民共和国反垄断法》等法律规定，严格执行其提交本协会备案的收费标准，不得擅自扩大收费范围或提高收费标准，不得向委托人索要或者接受约定之外的费用、财物或者其他利益，不得以任意压低收费标准的方式争揽业务，不得以明显低于成本的收费进行不正当竞争，也不得实施法律所禁止的垄断行为。</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无正当理由，律师事务所的收费低于其提交本协会备案的收费标准的70%的，视为实施不正当竞争行为。</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律师事务所应当依法接受指派承办法律援助案件。办理法律援助案件不得向受援人收取任何费用。</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对于经济确有困难，但不符合本市法律援助条件的下列案件的委托人，律师事务所可酌情减收或免收律师服务费：</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（一）请求支付劳动报酬、工伤赔偿的；</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（二）请求给付赡养费、抚养费、扶养费；</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（三）请求发给抚恤金、救济金的；</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（四）请求给予社会保险待遇或最低生活保障待遇的；</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（五）涉及安全事故、环境污染、征地拆迁赔偿（补偿）等公共利益的；</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（六）请求国家赔偿的；</w:t>
      </w:r>
    </w:p>
    <w:p>
      <w:pPr>
        <w:widowControl/>
        <w:spacing w:line="460" w:lineRule="exact"/>
        <w:ind w:firstLine="496" w:firstLineChars="207"/>
        <w:jc w:val="left"/>
        <w:rPr>
          <w:rFonts w:ascii="宋体" w:hAnsi="宋体" w:cs="宋体"/>
          <w:kern w:val="0"/>
          <w:sz w:val="24"/>
        </w:rPr>
      </w:pPr>
      <w:r>
        <w:rPr>
          <w:rFonts w:hint="eastAsia" w:ascii="宋体" w:hAnsi="宋体" w:cs="宋体"/>
          <w:kern w:val="0"/>
          <w:sz w:val="24"/>
        </w:rPr>
        <w:t>（七）其他因特殊情况无力承担律师服务费的。</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本指导意见中所称“元”，均指人民币元。</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本指导意见自【】年【】月【】日起试行。</w:t>
      </w:r>
    </w:p>
    <w:p>
      <w:pPr>
        <w:widowControl/>
        <w:numPr>
          <w:ilvl w:val="0"/>
          <w:numId w:val="1"/>
        </w:numPr>
        <w:shd w:val="clear" w:color="auto" w:fill="FFFFFF"/>
        <w:spacing w:line="460" w:lineRule="exact"/>
        <w:ind w:left="0" w:firstLine="480"/>
        <w:jc w:val="left"/>
        <w:rPr>
          <w:rFonts w:ascii="宋体" w:hAnsi="宋体" w:cs="宋体"/>
          <w:kern w:val="0"/>
          <w:sz w:val="24"/>
        </w:rPr>
      </w:pPr>
      <w:r>
        <w:rPr>
          <w:rFonts w:hint="eastAsia" w:ascii="宋体" w:hAnsi="宋体" w:cs="宋体"/>
          <w:kern w:val="0"/>
          <w:sz w:val="24"/>
        </w:rPr>
        <w:t>本指导意见由本协会常务理事会负责解释。</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附：《计时收费规则》</w:t>
      </w:r>
    </w:p>
    <w:p>
      <w:pPr>
        <w:widowControl/>
        <w:shd w:val="clear" w:color="auto" w:fill="FFFFFF"/>
        <w:spacing w:line="460" w:lineRule="exact"/>
        <w:ind w:firstLine="480"/>
        <w:rPr>
          <w:rFonts w:ascii="宋体" w:hAnsi="宋体" w:cs="宋体"/>
          <w:kern w:val="0"/>
          <w:sz w:val="24"/>
        </w:rPr>
      </w:pPr>
    </w:p>
    <w:p>
      <w:pPr>
        <w:widowControl/>
        <w:shd w:val="clear" w:color="auto" w:fill="FFFFFF"/>
        <w:spacing w:line="460" w:lineRule="exact"/>
        <w:ind w:firstLine="480"/>
        <w:jc w:val="right"/>
        <w:rPr>
          <w:rFonts w:ascii="宋体" w:hAnsi="宋体" w:cs="宋体"/>
          <w:kern w:val="0"/>
          <w:sz w:val="24"/>
        </w:rPr>
      </w:pPr>
      <w:r>
        <w:rPr>
          <w:rFonts w:hint="eastAsia" w:ascii="宋体" w:hAnsi="宋体" w:cs="宋体"/>
          <w:kern w:val="0"/>
          <w:sz w:val="24"/>
        </w:rPr>
        <w:t>福州市律师协会</w:t>
      </w:r>
    </w:p>
    <w:p>
      <w:pPr>
        <w:widowControl/>
        <w:shd w:val="clear" w:color="auto" w:fill="FFFFFF"/>
        <w:spacing w:line="460" w:lineRule="exact"/>
        <w:ind w:firstLine="480"/>
        <w:jc w:val="right"/>
        <w:rPr>
          <w:rFonts w:ascii="宋体" w:hAnsi="宋体" w:cs="宋体"/>
          <w:kern w:val="0"/>
          <w:sz w:val="24"/>
        </w:rPr>
      </w:pPr>
      <w:r>
        <w:rPr>
          <w:rFonts w:hint="eastAsia" w:ascii="宋体" w:hAnsi="宋体" w:cs="宋体"/>
          <w:kern w:val="0"/>
          <w:sz w:val="24"/>
        </w:rPr>
        <w:t>二〇一七年【】月【】日</w:t>
      </w:r>
    </w:p>
    <w:p>
      <w:pPr>
        <w:widowControl/>
        <w:shd w:val="clear" w:color="auto" w:fill="FFFFFF"/>
        <w:spacing w:line="460" w:lineRule="exact"/>
        <w:jc w:val="left"/>
        <w:rPr>
          <w:rFonts w:ascii="宋体" w:hAnsi="宋体" w:cs="宋体"/>
          <w:kern w:val="0"/>
          <w:sz w:val="24"/>
        </w:rPr>
      </w:pPr>
      <w:r>
        <w:rPr>
          <w:rFonts w:ascii="宋体" w:hAnsi="宋体" w:cs="宋体"/>
          <w:kern w:val="0"/>
          <w:sz w:val="24"/>
        </w:rPr>
        <w:br w:type="page"/>
      </w:r>
      <w:r>
        <w:rPr>
          <w:rFonts w:hint="eastAsia" w:ascii="宋体" w:hAnsi="宋体" w:cs="宋体"/>
          <w:kern w:val="0"/>
          <w:sz w:val="24"/>
        </w:rPr>
        <w:t>附件：</w:t>
      </w:r>
    </w:p>
    <w:p>
      <w:pPr>
        <w:widowControl/>
        <w:shd w:val="clear" w:color="auto" w:fill="FFFFFF"/>
        <w:spacing w:line="460" w:lineRule="exact"/>
        <w:jc w:val="center"/>
        <w:rPr>
          <w:rFonts w:ascii="宋体" w:hAnsi="宋体" w:cs="宋体"/>
          <w:kern w:val="0"/>
          <w:sz w:val="24"/>
        </w:rPr>
      </w:pPr>
      <w:r>
        <w:rPr>
          <w:rFonts w:hint="eastAsia" w:ascii="宋体" w:hAnsi="宋体" w:cs="宋体"/>
          <w:b/>
          <w:bCs/>
          <w:kern w:val="0"/>
          <w:sz w:val="36"/>
          <w:szCs w:val="36"/>
        </w:rPr>
        <w:t>计时收费规则</w:t>
      </w:r>
    </w:p>
    <w:p>
      <w:pPr>
        <w:widowControl/>
        <w:shd w:val="clear" w:color="auto" w:fill="FFFFFF"/>
        <w:spacing w:line="460" w:lineRule="exact"/>
        <w:jc w:val="left"/>
        <w:rPr>
          <w:rFonts w:ascii="宋体" w:hAnsi="宋体" w:cs="宋体"/>
          <w:b/>
          <w:bCs/>
          <w:kern w:val="0"/>
          <w:sz w:val="24"/>
        </w:rPr>
      </w:pP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计时收费方式适用于全部法律事务。</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律师事务所办理实行政府指导价的诉讼法律事务时，可以采取计时收费方式，但采取计时收费方式收取的律师服务费不得超出政府指导价范围或者幅度。</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事务所接受委托时，应当告知委托人或同委托人商定计时收费的有关问题，包括计费的时间单位、单位时间计费标准、计时的业务范围、计时的计算原则、途中时间和出庭时间、谈判时间的计算方法、二人以上承办业务的计时原则、律师工作时间的估算、律师工作时间的确认、结算时间、方法，并在律师服务收费合同或者委托代理合同或者法律顾问合同等合同中明确约定。</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律师计费工作时间，是指律师办理法律事务（委托事项）的有效的工作时间。律师从事下列工作的时间属于计费工作时间：</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同委托人或当事人谈话，包括听取委托人或者当事人对法律事务的介绍，听取委托人或当事人对办理法律事务的要求，依法对委托人或者当事人的有关问题做出解答以及和委托人或者当事人研究、交换对法律事务的看法等；</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律师应公安机关、检察机关、人民法院及其他机构要求围绕法律事务进行的代理工作；</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律师审阅委托人提交的各种文件资料；</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律师进行尽职调查或调查取证，包括向犯罪嫌疑人、当事人、被害人、证人和有关单位调查取证等；</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律师会见涉及法律事务的相关人员；</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律师查阅法律事务材料，包括到公安机关、检察机关、人民法院查阅和复制法律事务有关材料，向其他有关机关、单位查阅与法律事务有关的资料等；</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律师研究、分析法律事务情况；</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律师起草、制作各种诉讼文书和法律文书工作，包括起草、制作起诉书、答辩状、辩护词、代理词、上诉书、申诉书、合同书、法律意见书、律师信函及其他法律文件等；</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律师参与法律事务的调解、洽谈或者谈判工作；</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律师代办各类手续或事项；</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律师的出庭工作；</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律师为所办法律事务之需进行信息交流，包括但不限于向委托人通报工作进展；</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律师在办理法律事务过程中，乘坐车、船、飞机所耗费的路途时间(在途时间)以及因差旅所耗费的时间(外出停留时间),律师事务所和委托人另有约定的除外；</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律师围绕法律事务进行的法律、法规及行业规范规定的办理法律事务所耗费的时间；</w:t>
      </w:r>
    </w:p>
    <w:p>
      <w:pPr>
        <w:widowControl/>
        <w:numPr>
          <w:ilvl w:val="0"/>
          <w:numId w:val="12"/>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其他由律师事务所与委托人协商一致，可以计算计费工作时间的工作。</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律师事务所计费工作时间的一般计算办法：</w:t>
      </w:r>
    </w:p>
    <w:p>
      <w:pPr>
        <w:spacing w:line="460" w:lineRule="exact"/>
        <w:ind w:firstLine="480" w:firstLineChars="200"/>
        <w:rPr>
          <w:rFonts w:ascii="宋体" w:hAnsi="宋体" w:cs="Arial"/>
          <w:sz w:val="24"/>
        </w:rPr>
      </w:pPr>
      <w:r>
        <w:rPr>
          <w:rFonts w:hint="eastAsia" w:ascii="宋体" w:hAnsi="宋体" w:cs="Arial"/>
          <w:sz w:val="24"/>
        </w:rPr>
        <w:t>（一）律师计费工作时间一般按实际工作时间确定。计费工作时间需要按实际工作时间增加（如出庭、节假日加班、非节假日晚21点到次日凌晨6点的加班等）或减少（如在途、外出停留时间等）计算的，由律师事务所与委托人协商确定；双方没有约定的，则增加部分时间可以按照实际工作时间50%以内确定（含50%），减少部分时间可以按照实际工作时间60%以内确定（含60%）。</w:t>
      </w:r>
    </w:p>
    <w:p>
      <w:pPr>
        <w:widowControl/>
        <w:shd w:val="clear" w:color="auto" w:fill="FFFFFF"/>
        <w:spacing w:line="460" w:lineRule="exact"/>
        <w:ind w:firstLine="504"/>
        <w:jc w:val="left"/>
        <w:rPr>
          <w:rFonts w:ascii="宋体" w:hAnsi="宋体" w:cs="宋体"/>
          <w:kern w:val="0"/>
          <w:sz w:val="24"/>
        </w:rPr>
      </w:pPr>
      <w:r>
        <w:rPr>
          <w:rFonts w:hint="eastAsia" w:ascii="宋体" w:hAnsi="宋体" w:cs="宋体"/>
          <w:kern w:val="0"/>
          <w:sz w:val="24"/>
        </w:rPr>
        <w:t>（二）承办律师为二人以上的，以各自的计费工作时间分别计算。但是，二名以上律师共同办理同一法律事务中同一项工作，除法定必须由二名以上律师共同办理的以外，应按一名主办律师计费工作时间计算，但委托人同意分别计算或特别折算的除外。</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三）律师事务所法律辅助人员从事法律辅助的工作时间，可以按照合理比例折算为被委托律师的计费工作时间，具体折算比例由律师事务所与委托人协商确定；双方没有约定的，则秘书的工作时间可以按照被委托律师计费工作时间10%以内折算（含10%），律师助理的工作时间可以按照被委托律师计费工作时间30%以内折算（含30%）。</w:t>
      </w:r>
    </w:p>
    <w:p>
      <w:pPr>
        <w:widowControl/>
        <w:shd w:val="clear" w:color="auto" w:fill="FFFFFF"/>
        <w:spacing w:line="460" w:lineRule="exact"/>
        <w:ind w:firstLine="480"/>
        <w:jc w:val="left"/>
        <w:rPr>
          <w:rFonts w:ascii="宋体" w:hAnsi="宋体" w:cs="宋体"/>
          <w:kern w:val="0"/>
          <w:sz w:val="24"/>
        </w:rPr>
      </w:pPr>
      <w:r>
        <w:rPr>
          <w:rFonts w:hint="eastAsia" w:ascii="宋体" w:hAnsi="宋体" w:cs="宋体"/>
          <w:kern w:val="0"/>
          <w:sz w:val="24"/>
        </w:rPr>
        <w:t>上述法律辅助人员是指律师事务所没有取得律师执业证书的专职人员，包括秘书、律师助理等，但取得律师执业证书的律师助理共同承办案件的，按第（一）、（二）项标准执行。</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律师计费工作时间以每30分钟为一个最小计时单位，记为0.5小时，不足30分钟的按一个计费单位计算。</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采取计时收费方式的，律师服务费根据律师计时收费标准和计费工作时间之乘积确定。</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律师事务所应当按照律师服务收费合同或者委托代理合同或者法律顾问合同等合同约定的时间，向委托人出具计时收费清单。计时收费清单一式两份,一份出具给委托人,一份律师事务所存档。</w:t>
      </w:r>
    </w:p>
    <w:p>
      <w:pPr>
        <w:widowControl/>
        <w:shd w:val="clear" w:color="auto" w:fill="FFFFFF"/>
        <w:spacing w:line="460" w:lineRule="exact"/>
        <w:ind w:firstLine="482"/>
        <w:jc w:val="left"/>
        <w:rPr>
          <w:rFonts w:ascii="宋体" w:hAnsi="宋体" w:cs="宋体"/>
          <w:kern w:val="0"/>
          <w:sz w:val="24"/>
        </w:rPr>
      </w:pPr>
      <w:r>
        <w:rPr>
          <w:rFonts w:hint="eastAsia" w:ascii="宋体" w:hAnsi="宋体" w:cs="宋体"/>
          <w:kern w:val="0"/>
          <w:sz w:val="24"/>
        </w:rPr>
        <w:t>计时收费清单应当全面、如实反映与律师办理法律事务有关的计时收费信息，记载下列内容：</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委托人、律师事务所、承办律师及计时收费标准；</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各项具体工作内容及对应的计费工作时间；</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办理法律事务累计计费工作时间；</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律师服务费数额。</w:t>
      </w:r>
    </w:p>
    <w:p>
      <w:pPr>
        <w:widowControl/>
        <w:shd w:val="clear" w:color="auto" w:fill="FFFFFF"/>
        <w:spacing w:line="460" w:lineRule="exact"/>
        <w:ind w:firstLine="482"/>
        <w:jc w:val="left"/>
        <w:rPr>
          <w:rFonts w:ascii="宋体" w:hAnsi="宋体" w:cs="宋体"/>
          <w:kern w:val="0"/>
          <w:sz w:val="24"/>
        </w:rPr>
      </w:pPr>
      <w:r>
        <w:rPr>
          <w:rFonts w:hint="eastAsia" w:ascii="宋体" w:hAnsi="宋体" w:cs="宋体"/>
          <w:kern w:val="0"/>
          <w:sz w:val="24"/>
        </w:rPr>
        <w:t>委托人要求律师事务所提交工作记录和相关材料的，律师事务所应当提交。</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律师事务所可以按照下列标准计时收费：</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执业3年以下的律师，可以按照每1小时500</w:t>
      </w:r>
      <w:r>
        <w:rPr>
          <w:rFonts w:hint="eastAsia" w:ascii="宋体" w:hAnsi="宋体" w:cs="宋体"/>
          <w:bCs/>
          <w:kern w:val="0"/>
          <w:sz w:val="24"/>
        </w:rPr>
        <w:t>～800</w:t>
      </w:r>
      <w:r>
        <w:rPr>
          <w:rFonts w:hint="eastAsia" w:ascii="宋体" w:hAnsi="宋体" w:cs="宋体"/>
          <w:kern w:val="0"/>
          <w:sz w:val="24"/>
        </w:rPr>
        <w:t>元的标准计时收费。</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执业3年以上、8年以下的律师，可以按照</w:t>
      </w:r>
      <w:r>
        <w:rPr>
          <w:rFonts w:hint="eastAsia" w:ascii="宋体" w:hAnsi="宋体" w:cs="宋体"/>
          <w:bCs/>
          <w:kern w:val="0"/>
          <w:sz w:val="24"/>
        </w:rPr>
        <w:t>每1小时800～2000元</w:t>
      </w:r>
      <w:r>
        <w:rPr>
          <w:rFonts w:hint="eastAsia" w:ascii="宋体" w:hAnsi="宋体" w:cs="宋体"/>
          <w:kern w:val="0"/>
          <w:sz w:val="24"/>
        </w:rPr>
        <w:t>的标准计时收费。</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执业8年以上、15年以下的律师，可以按照</w:t>
      </w:r>
      <w:r>
        <w:rPr>
          <w:rFonts w:hint="eastAsia" w:ascii="宋体" w:hAnsi="宋体" w:cs="宋体"/>
          <w:bCs/>
          <w:kern w:val="0"/>
          <w:sz w:val="24"/>
        </w:rPr>
        <w:t>每1小时1500～3000元</w:t>
      </w:r>
      <w:r>
        <w:rPr>
          <w:rFonts w:hint="eastAsia" w:ascii="宋体" w:hAnsi="宋体" w:cs="宋体"/>
          <w:kern w:val="0"/>
          <w:sz w:val="24"/>
        </w:rPr>
        <w:t>的标准计时收费。</w:t>
      </w:r>
    </w:p>
    <w:p>
      <w:pPr>
        <w:widowControl/>
        <w:numPr>
          <w:ilvl w:val="2"/>
          <w:numId w:val="13"/>
        </w:numPr>
        <w:shd w:val="clear" w:color="auto" w:fill="FFFFFF"/>
        <w:spacing w:line="460" w:lineRule="exact"/>
        <w:ind w:left="0" w:firstLine="567"/>
        <w:jc w:val="left"/>
        <w:rPr>
          <w:rFonts w:ascii="宋体" w:hAnsi="宋体" w:cs="宋体"/>
          <w:kern w:val="0"/>
          <w:sz w:val="24"/>
        </w:rPr>
      </w:pPr>
      <w:r>
        <w:rPr>
          <w:rFonts w:hint="eastAsia" w:ascii="宋体" w:hAnsi="宋体" w:cs="宋体"/>
          <w:kern w:val="0"/>
          <w:sz w:val="24"/>
        </w:rPr>
        <w:t>执业15年以上的律师，可以按照</w:t>
      </w:r>
      <w:r>
        <w:rPr>
          <w:rFonts w:hint="eastAsia" w:ascii="宋体" w:hAnsi="宋体" w:cs="宋体"/>
          <w:bCs/>
          <w:kern w:val="0"/>
          <w:sz w:val="24"/>
        </w:rPr>
        <w:t>每1小时2000～5000元</w:t>
      </w:r>
      <w:r>
        <w:rPr>
          <w:rFonts w:hint="eastAsia" w:ascii="宋体" w:hAnsi="宋体" w:cs="宋体"/>
          <w:kern w:val="0"/>
          <w:sz w:val="24"/>
        </w:rPr>
        <w:t>的标准计时收费。</w:t>
      </w:r>
    </w:p>
    <w:p>
      <w:pPr>
        <w:widowControl/>
        <w:numPr>
          <w:ilvl w:val="0"/>
          <w:numId w:val="11"/>
        </w:numPr>
        <w:shd w:val="clear" w:color="auto" w:fill="FFFFFF"/>
        <w:spacing w:line="460" w:lineRule="exact"/>
        <w:ind w:left="0" w:firstLine="472"/>
        <w:jc w:val="left"/>
        <w:rPr>
          <w:rFonts w:ascii="宋体" w:hAnsi="宋体" w:cs="宋体"/>
          <w:kern w:val="0"/>
          <w:sz w:val="24"/>
        </w:rPr>
      </w:pPr>
      <w:r>
        <w:rPr>
          <w:rFonts w:hint="eastAsia" w:ascii="宋体" w:hAnsi="宋体" w:cs="宋体"/>
          <w:kern w:val="0"/>
          <w:sz w:val="24"/>
        </w:rPr>
        <w:t xml:space="preserve"> 出差超过1天的，每天按8小时工作时间收费。</w:t>
      </w:r>
    </w:p>
    <w:p>
      <w:pPr>
        <w:widowControl/>
        <w:shd w:val="clear" w:color="auto" w:fill="FFFFFF"/>
        <w:spacing w:line="460" w:lineRule="exact"/>
        <w:ind w:firstLine="482"/>
        <w:jc w:val="left"/>
        <w:rPr>
          <w:rFonts w:ascii="宋体" w:hAnsi="宋体" w:cs="宋体"/>
          <w:bCs/>
          <w:kern w:val="0"/>
          <w:sz w:val="24"/>
        </w:rPr>
      </w:pPr>
      <w:r>
        <w:rPr>
          <w:rFonts w:hint="eastAsia" w:ascii="宋体" w:hAnsi="宋体" w:cs="宋体"/>
          <w:bCs/>
          <w:kern w:val="0"/>
          <w:sz w:val="24"/>
        </w:rPr>
        <w:t>律师在本城区办理法律事务时，路途中的时间按累计实际时间减半计算。律师在异地办案乘坐车、船、飞机花费的时间及必要停留时间减半计算。</w:t>
      </w:r>
    </w:p>
    <w:p>
      <w:pPr>
        <w:widowControl/>
        <w:shd w:val="clear" w:color="auto" w:fill="FFFFFF"/>
        <w:spacing w:line="460" w:lineRule="exact"/>
        <w:ind w:firstLine="482"/>
        <w:jc w:val="left"/>
        <w:rPr>
          <w:rFonts w:ascii="宋体" w:hAnsi="宋体" w:cs="宋体"/>
          <w:bCs/>
          <w:kern w:val="0"/>
          <w:sz w:val="24"/>
        </w:rPr>
      </w:pPr>
    </w:p>
    <w:sectPr>
      <w:footerReference r:id="rId3" w:type="default"/>
      <w:foot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Helvetica">
    <w:altName w:val="Microsoft Sans Serif"/>
    <w:panose1 w:val="020B0604020202020204"/>
    <w:charset w:val="00"/>
    <w:family w:val="swiss"/>
    <w:pitch w:val="default"/>
    <w:sig w:usb0="00000000" w:usb1="00000000" w:usb2="00000009" w:usb3="00000000" w:csb0="000001FF" w:csb1="00000000"/>
  </w:font>
  <w:font w:name="Arial">
    <w:altName w:val="Arial Narrow"/>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Microsoft Sans Serif">
    <w:panose1 w:val="020B0604020202020204"/>
    <w:charset w:val="00"/>
    <w:family w:val="auto"/>
    <w:pitch w:val="default"/>
    <w:sig w:usb0="61007BDF" w:usb1="80000000" w:usb2="00000008" w:usb3="00000000" w:csb0="200101FF" w:csb1="20280000"/>
  </w:font>
  <w:font w:name="Arial Narrow">
    <w:panose1 w:val="020B0606020202030204"/>
    <w:charset w:val="01"/>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84"/>
    <w:multiLevelType w:val="multilevel"/>
    <w:tmpl w:val="01961884"/>
    <w:lvl w:ilvl="0" w:tentative="0">
      <w:start w:val="1"/>
      <w:numFmt w:val="decimal"/>
      <w:lvlText w:val="%1. "/>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9726AA"/>
    <w:multiLevelType w:val="multilevel"/>
    <w:tmpl w:val="0C9726AA"/>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B83510"/>
    <w:multiLevelType w:val="multilevel"/>
    <w:tmpl w:val="13B83510"/>
    <w:lvl w:ilvl="0" w:tentative="0">
      <w:start w:val="1"/>
      <w:numFmt w:val="decimal"/>
      <w:lvlText w:val="%1. "/>
      <w:lvlJc w:val="left"/>
      <w:pPr>
        <w:ind w:left="892" w:hanging="420"/>
      </w:pPr>
      <w:rPr>
        <w:rFonts w:hint="eastAsia"/>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18036964"/>
    <w:multiLevelType w:val="multilevel"/>
    <w:tmpl w:val="18036964"/>
    <w:lvl w:ilvl="0" w:tentative="0">
      <w:start w:val="1"/>
      <w:numFmt w:val="decimal"/>
      <w:lvlText w:val="%1. "/>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0D7B68"/>
    <w:multiLevelType w:val="multilevel"/>
    <w:tmpl w:val="260D7B68"/>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A30328F"/>
    <w:multiLevelType w:val="multilevel"/>
    <w:tmpl w:val="2A30328F"/>
    <w:lvl w:ilvl="0" w:tentative="0">
      <w:start w:val="1"/>
      <w:numFmt w:val="decimal"/>
      <w:lvlText w:val="%1. "/>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6">
    <w:nsid w:val="303C2B13"/>
    <w:multiLevelType w:val="multilevel"/>
    <w:tmpl w:val="303C2B13"/>
    <w:lvl w:ilvl="0" w:tentative="0">
      <w:start w:val="1"/>
      <w:numFmt w:val="decimal"/>
      <w:lvlText w:val="%1. "/>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7">
    <w:nsid w:val="406F1670"/>
    <w:multiLevelType w:val="multilevel"/>
    <w:tmpl w:val="406F1670"/>
    <w:lvl w:ilvl="0" w:tentative="0">
      <w:start w:val="1"/>
      <w:numFmt w:val="decimal"/>
      <w:lvlText w:val="%1. "/>
      <w:lvlJc w:val="left"/>
      <w:pPr>
        <w:ind w:left="13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AE24EF"/>
    <w:multiLevelType w:val="multilevel"/>
    <w:tmpl w:val="59AE24EF"/>
    <w:lvl w:ilvl="0" w:tentative="0">
      <w:start w:val="1"/>
      <w:numFmt w:val="decimal"/>
      <w:lvlText w:val="%1. "/>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7F865D0"/>
    <w:multiLevelType w:val="multilevel"/>
    <w:tmpl w:val="67F865D0"/>
    <w:lvl w:ilvl="0" w:tentative="0">
      <w:start w:val="1"/>
      <w:numFmt w:val="decimal"/>
      <w:lvlText w:val="%1. "/>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CFA0011"/>
    <w:multiLevelType w:val="multilevel"/>
    <w:tmpl w:val="6CFA0011"/>
    <w:lvl w:ilvl="0" w:tentative="0">
      <w:start w:val="1"/>
      <w:numFmt w:val="decimal"/>
      <w:lvlText w:val="%1. "/>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76658B2"/>
    <w:multiLevelType w:val="multilevel"/>
    <w:tmpl w:val="776658B2"/>
    <w:lvl w:ilvl="0" w:tentative="0">
      <w:start w:val="1"/>
      <w:numFmt w:val="chineseCountingThousand"/>
      <w:lvlText w:val="第%1条"/>
      <w:lvlJc w:val="left"/>
      <w:pPr>
        <w:ind w:left="892" w:hanging="420"/>
      </w:pPr>
      <w:rPr>
        <w:rFonts w:hint="eastAsia"/>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2">
    <w:nsid w:val="7A4E5ED3"/>
    <w:multiLevelType w:val="multilevel"/>
    <w:tmpl w:val="7A4E5ED3"/>
    <w:lvl w:ilvl="0" w:tentative="0">
      <w:start w:val="1"/>
      <w:numFmt w:val="chineseCountingThousand"/>
      <w:lvlText w:val="第%1条"/>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2"/>
  </w:num>
  <w:num w:numId="2">
    <w:abstractNumId w:val="4"/>
  </w:num>
  <w:num w:numId="3">
    <w:abstractNumId w:val="9"/>
  </w:num>
  <w:num w:numId="4">
    <w:abstractNumId w:val="8"/>
  </w:num>
  <w:num w:numId="5">
    <w:abstractNumId w:val="3"/>
  </w:num>
  <w:num w:numId="6">
    <w:abstractNumId w:val="0"/>
  </w:num>
  <w:num w:numId="7">
    <w:abstractNumId w:val="7"/>
  </w:num>
  <w:num w:numId="8">
    <w:abstractNumId w:val="10"/>
  </w:num>
  <w:num w:numId="9">
    <w:abstractNumId w:val="5"/>
  </w:num>
  <w:num w:numId="10">
    <w:abstractNumId w:val="6"/>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50A"/>
    <w:rsid w:val="000177CA"/>
    <w:rsid w:val="000221A9"/>
    <w:rsid w:val="00033995"/>
    <w:rsid w:val="00042E2F"/>
    <w:rsid w:val="0004367E"/>
    <w:rsid w:val="00064CF8"/>
    <w:rsid w:val="00072159"/>
    <w:rsid w:val="00077869"/>
    <w:rsid w:val="000C1756"/>
    <w:rsid w:val="000C192D"/>
    <w:rsid w:val="000D069D"/>
    <w:rsid w:val="000F1764"/>
    <w:rsid w:val="00101367"/>
    <w:rsid w:val="00103A5D"/>
    <w:rsid w:val="00110844"/>
    <w:rsid w:val="001238B8"/>
    <w:rsid w:val="00125D19"/>
    <w:rsid w:val="001304DD"/>
    <w:rsid w:val="00142003"/>
    <w:rsid w:val="001423BA"/>
    <w:rsid w:val="00145198"/>
    <w:rsid w:val="0015535F"/>
    <w:rsid w:val="00181440"/>
    <w:rsid w:val="00184D81"/>
    <w:rsid w:val="001A4D95"/>
    <w:rsid w:val="001B09E1"/>
    <w:rsid w:val="001C063E"/>
    <w:rsid w:val="001F03AD"/>
    <w:rsid w:val="001F19AE"/>
    <w:rsid w:val="00220977"/>
    <w:rsid w:val="002342DE"/>
    <w:rsid w:val="00234E5D"/>
    <w:rsid w:val="00247D3B"/>
    <w:rsid w:val="00253240"/>
    <w:rsid w:val="00286E00"/>
    <w:rsid w:val="00293885"/>
    <w:rsid w:val="002A7632"/>
    <w:rsid w:val="002B21C2"/>
    <w:rsid w:val="002B4D84"/>
    <w:rsid w:val="002C242B"/>
    <w:rsid w:val="002D2CB7"/>
    <w:rsid w:val="002E0FA3"/>
    <w:rsid w:val="002F11D0"/>
    <w:rsid w:val="0030392A"/>
    <w:rsid w:val="00306724"/>
    <w:rsid w:val="003265F2"/>
    <w:rsid w:val="00355442"/>
    <w:rsid w:val="0038298F"/>
    <w:rsid w:val="00385707"/>
    <w:rsid w:val="003A1FE5"/>
    <w:rsid w:val="003A3842"/>
    <w:rsid w:val="003B14A1"/>
    <w:rsid w:val="003B314F"/>
    <w:rsid w:val="003C1313"/>
    <w:rsid w:val="003C36E2"/>
    <w:rsid w:val="003D4FFE"/>
    <w:rsid w:val="003D5265"/>
    <w:rsid w:val="003D702D"/>
    <w:rsid w:val="003E631B"/>
    <w:rsid w:val="00411B96"/>
    <w:rsid w:val="00434012"/>
    <w:rsid w:val="0046378E"/>
    <w:rsid w:val="00463D4F"/>
    <w:rsid w:val="00470A23"/>
    <w:rsid w:val="00472946"/>
    <w:rsid w:val="00481637"/>
    <w:rsid w:val="00493F7D"/>
    <w:rsid w:val="004B0FF8"/>
    <w:rsid w:val="004C393A"/>
    <w:rsid w:val="004D3CEB"/>
    <w:rsid w:val="004E28A2"/>
    <w:rsid w:val="004E74F3"/>
    <w:rsid w:val="004F472D"/>
    <w:rsid w:val="00502391"/>
    <w:rsid w:val="00511F08"/>
    <w:rsid w:val="005321D3"/>
    <w:rsid w:val="005768ED"/>
    <w:rsid w:val="005819C6"/>
    <w:rsid w:val="005857F2"/>
    <w:rsid w:val="005977DA"/>
    <w:rsid w:val="005A1CB4"/>
    <w:rsid w:val="005A374E"/>
    <w:rsid w:val="005C5D6F"/>
    <w:rsid w:val="005D2046"/>
    <w:rsid w:val="005D50BE"/>
    <w:rsid w:val="005E147A"/>
    <w:rsid w:val="005E630C"/>
    <w:rsid w:val="005E730B"/>
    <w:rsid w:val="006150DE"/>
    <w:rsid w:val="00646A89"/>
    <w:rsid w:val="0065300D"/>
    <w:rsid w:val="006559D9"/>
    <w:rsid w:val="006620E0"/>
    <w:rsid w:val="00673C33"/>
    <w:rsid w:val="006807E2"/>
    <w:rsid w:val="00691341"/>
    <w:rsid w:val="006A2AB7"/>
    <w:rsid w:val="006C39CB"/>
    <w:rsid w:val="006D4ECA"/>
    <w:rsid w:val="006D59C0"/>
    <w:rsid w:val="006F2008"/>
    <w:rsid w:val="0074759C"/>
    <w:rsid w:val="0077450A"/>
    <w:rsid w:val="00777E13"/>
    <w:rsid w:val="00783EF5"/>
    <w:rsid w:val="007972B0"/>
    <w:rsid w:val="007A0CA8"/>
    <w:rsid w:val="007A601B"/>
    <w:rsid w:val="007C1D7C"/>
    <w:rsid w:val="007D3DDC"/>
    <w:rsid w:val="007D511D"/>
    <w:rsid w:val="007E0919"/>
    <w:rsid w:val="007E14D4"/>
    <w:rsid w:val="00833DF9"/>
    <w:rsid w:val="00865A5E"/>
    <w:rsid w:val="0087535E"/>
    <w:rsid w:val="00881F01"/>
    <w:rsid w:val="0089021C"/>
    <w:rsid w:val="00891F0E"/>
    <w:rsid w:val="008A4224"/>
    <w:rsid w:val="008A6AED"/>
    <w:rsid w:val="008B3923"/>
    <w:rsid w:val="008E3B42"/>
    <w:rsid w:val="008E6D4E"/>
    <w:rsid w:val="00917239"/>
    <w:rsid w:val="00923ABB"/>
    <w:rsid w:val="00963254"/>
    <w:rsid w:val="009637BF"/>
    <w:rsid w:val="00981407"/>
    <w:rsid w:val="009820C8"/>
    <w:rsid w:val="009B4BF1"/>
    <w:rsid w:val="009F5067"/>
    <w:rsid w:val="009F79AE"/>
    <w:rsid w:val="00A05B59"/>
    <w:rsid w:val="00A2695A"/>
    <w:rsid w:val="00A40A42"/>
    <w:rsid w:val="00A458AE"/>
    <w:rsid w:val="00A475E2"/>
    <w:rsid w:val="00A52A38"/>
    <w:rsid w:val="00A5616B"/>
    <w:rsid w:val="00A656FC"/>
    <w:rsid w:val="00A72E30"/>
    <w:rsid w:val="00A93715"/>
    <w:rsid w:val="00AB6D22"/>
    <w:rsid w:val="00AD536A"/>
    <w:rsid w:val="00AE0274"/>
    <w:rsid w:val="00B1455E"/>
    <w:rsid w:val="00B23BF0"/>
    <w:rsid w:val="00B250E8"/>
    <w:rsid w:val="00B41BB7"/>
    <w:rsid w:val="00B4727F"/>
    <w:rsid w:val="00B63251"/>
    <w:rsid w:val="00B72FB2"/>
    <w:rsid w:val="00B77CE8"/>
    <w:rsid w:val="00B802C2"/>
    <w:rsid w:val="00B82985"/>
    <w:rsid w:val="00BA212B"/>
    <w:rsid w:val="00BD2979"/>
    <w:rsid w:val="00C01164"/>
    <w:rsid w:val="00C04D4A"/>
    <w:rsid w:val="00C15F4E"/>
    <w:rsid w:val="00C23737"/>
    <w:rsid w:val="00C25688"/>
    <w:rsid w:val="00C35CCD"/>
    <w:rsid w:val="00C50447"/>
    <w:rsid w:val="00C644E6"/>
    <w:rsid w:val="00C75C1C"/>
    <w:rsid w:val="00CB3CEF"/>
    <w:rsid w:val="00CD5091"/>
    <w:rsid w:val="00CF7622"/>
    <w:rsid w:val="00D40D7B"/>
    <w:rsid w:val="00D47D0B"/>
    <w:rsid w:val="00D5368A"/>
    <w:rsid w:val="00D66FC4"/>
    <w:rsid w:val="00D75769"/>
    <w:rsid w:val="00D757F4"/>
    <w:rsid w:val="00DB71FC"/>
    <w:rsid w:val="00DD4477"/>
    <w:rsid w:val="00E05BEA"/>
    <w:rsid w:val="00E211F8"/>
    <w:rsid w:val="00E60B6C"/>
    <w:rsid w:val="00E63FC0"/>
    <w:rsid w:val="00E77914"/>
    <w:rsid w:val="00E84E96"/>
    <w:rsid w:val="00EB2C14"/>
    <w:rsid w:val="00ED5A73"/>
    <w:rsid w:val="00ED79A3"/>
    <w:rsid w:val="00EE1AFB"/>
    <w:rsid w:val="00F16225"/>
    <w:rsid w:val="00F24F76"/>
    <w:rsid w:val="00F37CEE"/>
    <w:rsid w:val="00F73E8E"/>
    <w:rsid w:val="00F744AF"/>
    <w:rsid w:val="00F87143"/>
    <w:rsid w:val="00F97613"/>
    <w:rsid w:val="00FA688E"/>
    <w:rsid w:val="2E491EF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iPriority w:val="0"/>
    <w:pPr>
      <w:widowControl w:val="0"/>
      <w:spacing w:before="0" w:beforeAutospacing="0" w:after="0" w:afterAutospacing="0"/>
    </w:pPr>
    <w:rPr>
      <w:rFonts w:ascii="Times New Roman" w:hAnsi="Times New Roman"/>
      <w:b/>
      <w:bCs/>
      <w:kern w:val="2"/>
      <w:sz w:val="21"/>
    </w:rPr>
  </w:style>
  <w:style w:type="paragraph" w:styleId="3">
    <w:name w:val="annotation text"/>
    <w:basedOn w:val="1"/>
    <w:link w:val="17"/>
    <w:qFormat/>
    <w:uiPriority w:val="0"/>
    <w:pPr>
      <w:widowControl/>
      <w:spacing w:before="100" w:beforeAutospacing="1" w:after="100" w:afterAutospacing="1"/>
      <w:jc w:val="left"/>
    </w:pPr>
    <w:rPr>
      <w:rFonts w:ascii="宋体" w:hAnsi="宋体"/>
      <w:kern w:val="0"/>
      <w:sz w:val="24"/>
    </w:rPr>
  </w:style>
  <w:style w:type="paragraph" w:styleId="4">
    <w:name w:val="Body Text 3"/>
    <w:basedOn w:val="1"/>
    <w:link w:val="20"/>
    <w:unhideWhenUsed/>
    <w:uiPriority w:val="0"/>
    <w:pPr>
      <w:spacing w:beforeLines="50" w:line="300" w:lineRule="auto"/>
    </w:pPr>
    <w:rPr>
      <w:rFonts w:ascii="仿宋_GB2312" w:hAnsi="宋体" w:eastAsia="仿宋_GB2312"/>
      <w:color w:val="0000FF"/>
      <w:spacing w:val="6"/>
      <w:kern w:val="0"/>
      <w:sz w:val="24"/>
    </w:rPr>
  </w:style>
  <w:style w:type="paragraph" w:styleId="5">
    <w:name w:val="Balloon Text"/>
    <w:basedOn w:val="1"/>
    <w:link w:val="19"/>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styleId="12">
    <w:name w:val="Hyperlink"/>
    <w:uiPriority w:val="0"/>
    <w:rPr>
      <w:color w:val="0000FF"/>
      <w:u w:val="single"/>
    </w:rPr>
  </w:style>
  <w:style w:type="character" w:styleId="13">
    <w:name w:val="annotation reference"/>
    <w:basedOn w:val="9"/>
    <w:uiPriority w:val="0"/>
  </w:style>
  <w:style w:type="character" w:customStyle="1" w:styleId="15">
    <w:name w:val="apple-converted-space"/>
    <w:basedOn w:val="9"/>
    <w:uiPriority w:val="0"/>
  </w:style>
  <w:style w:type="paragraph" w:customStyle="1" w:styleId="16">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批注文字 Char"/>
    <w:link w:val="3"/>
    <w:uiPriority w:val="0"/>
    <w:rPr>
      <w:rFonts w:ascii="宋体" w:hAnsi="宋体" w:cs="宋体"/>
      <w:sz w:val="24"/>
      <w:szCs w:val="24"/>
    </w:rPr>
  </w:style>
  <w:style w:type="character" w:customStyle="1" w:styleId="18">
    <w:name w:val="批注主题 Char"/>
    <w:basedOn w:val="17"/>
    <w:link w:val="2"/>
    <w:uiPriority w:val="0"/>
  </w:style>
  <w:style w:type="character" w:customStyle="1" w:styleId="19">
    <w:name w:val="批注框文本 Char"/>
    <w:link w:val="5"/>
    <w:uiPriority w:val="0"/>
    <w:rPr>
      <w:kern w:val="2"/>
      <w:sz w:val="18"/>
      <w:szCs w:val="18"/>
    </w:rPr>
  </w:style>
  <w:style w:type="character" w:customStyle="1" w:styleId="20">
    <w:name w:val="正文文本 3 Char"/>
    <w:link w:val="4"/>
    <w:uiPriority w:val="0"/>
    <w:rPr>
      <w:rFonts w:ascii="仿宋_GB2312" w:hAnsi="宋体" w:eastAsia="仿宋_GB2312"/>
      <w:color w:val="0000FF"/>
      <w:spacing w:val="6"/>
      <w:sz w:val="24"/>
      <w:szCs w:val="24"/>
    </w:rPr>
  </w:style>
  <w:style w:type="character" w:customStyle="1" w:styleId="21">
    <w:name w:val="页眉 Char"/>
    <w:basedOn w:val="9"/>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1342</Words>
  <Characters>7653</Characters>
  <Lines>63</Lines>
  <Paragraphs>17</Paragraphs>
  <TotalTime>0</TotalTime>
  <ScaleCrop>false</ScaleCrop>
  <LinksUpToDate>false</LinksUpToDate>
  <CharactersWithSpaces>8978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2017-08-10T02:53:00Z</dcterms:created>
  <dc:creator>SkyUN.Org</dc:creator>
  <cp:lastModifiedBy>Administrator</cp:lastModifiedBy>
  <cp:lastPrinted>2016-07-19T03:01:00Z</cp:lastPrinted>
  <dcterms:modified xsi:type="dcterms:W3CDTF">2017-08-17T02:06:22Z</dcterms:modified>
  <dc:title>福建省律师服务收费标准指导意见[张洪明律师1]</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